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67" w:rsidRPr="00B96A82" w:rsidRDefault="00C907DC" w:rsidP="00106D67">
      <w:pPr>
        <w:spacing w:line="240" w:lineRule="atLeast"/>
        <w:ind w:right="-81"/>
        <w:jc w:val="center"/>
        <w:rPr>
          <w:rFonts w:ascii="Arial" w:hAnsi="Arial" w:cs="Arial"/>
          <w:b/>
          <w:sz w:val="20"/>
          <w:szCs w:val="20"/>
        </w:rPr>
      </w:pPr>
      <w:r w:rsidRPr="00B96A82"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33655</wp:posOffset>
                </wp:positionV>
                <wp:extent cx="7219950" cy="89998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0" cy="8999855"/>
                          <a:chOff x="407" y="899"/>
                          <a:chExt cx="11246" cy="1417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D67" w:rsidRDefault="00106D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0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6D67" w:rsidRDefault="00106D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70.05pt;margin-top:2.65pt;width:568.5pt;height:708.65pt;z-index:251660288" coordorigin="407,899" coordsize="11246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7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h68AA&#10;AADaAAAADwAAAGRycy9kb3ducmV2LnhtbERPz2vCMBS+C/sfwht4m6kehnSmRRybw3lQN3Z+Js+2&#10;rHkpSdTOv94IA48f3+9Z2dtWnMiHxrGC8SgDQaydabhS8P319jQFESKywdYxKfijAGXxMJhhbtyZ&#10;t3TaxUqkEA45Kqhj7HIpg67JYhi5jjhxB+ctxgR9JY3Hcwq3rZxk2bO02HBqqLGjRU36d3e0acbK&#10;2uXr/icbf+r3i/Pab+brvVLDx37+AiJSH+/if/eHUTCB25XkB1l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fh68AAAADaAAAADwAAAAAAAAAAAAAAAACYAgAAZHJzL2Rvd25y&#10;ZXYueG1sUEsFBgAAAAAEAAQA9QAAAIUDAAAAAA==&#10;" fillcolor="red" stroked="f">
                  <v:textbox>
                    <w:txbxContent>
                      <w:p w:rsidR="00106D67" w:rsidRDefault="00106D67"/>
                    </w:txbxContent>
                  </v:textbox>
                </v:shape>
                <v:shape id="Text Box 4" o:spid="_x0000_s1028" type="#_x0000_t202" style="position:absolute;left:11370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EcMAA&#10;AADaAAAADwAAAGRycy9kb3ducmV2LnhtbERPy2oCMRTdC/5DuII7zahQytQoovig7UKtuL4mtzND&#10;JzdDEnXar28KBZeH857OW1uLG/lQOVYwGmYgiLUzFRcKTh/rwTOIEJEN1o5JwTcFmM+6nSnmxt35&#10;QLdjLEQK4ZCjgjLGJpcy6JIshqFriBP36bzFmKAvpPF4T+G2luMse5IWK04NJTa0LEl/Ha82zXi1&#10;dru6nLPRm978OK/9fvF+UarfaxcvICK18SH+d++Mggn8XUl+kL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tEcMAAAADaAAAADwAAAAAAAAAAAAAAAACYAgAAZHJzL2Rvd25y&#10;ZXYueG1sUEsFBgAAAAAEAAQA9QAAAIUDAAAAAA==&#10;" fillcolor="red" stroked="f">
                  <v:textbox>
                    <w:txbxContent>
                      <w:p w:rsidR="00106D67" w:rsidRDefault="00106D67"/>
                    </w:txbxContent>
                  </v:textbox>
                </v:shape>
              </v:group>
            </w:pict>
          </mc:Fallback>
        </mc:AlternateContent>
      </w:r>
      <w:r w:rsidR="00106D67" w:rsidRPr="00B96A82">
        <w:rPr>
          <w:rFonts w:ascii="Arial" w:hAnsi="Arial" w:cs="Arial"/>
          <w:b/>
          <w:sz w:val="20"/>
          <w:szCs w:val="20"/>
        </w:rPr>
        <w:t>FICHA DE EMERGÊNCIA</w:t>
      </w:r>
    </w:p>
    <w:p w:rsidR="00106D67" w:rsidRPr="00B96A82" w:rsidRDefault="00106D67">
      <w:pPr>
        <w:spacing w:line="240" w:lineRule="atLeast"/>
        <w:ind w:left="-360" w:right="-81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3293"/>
        <w:gridCol w:w="3586"/>
      </w:tblGrid>
      <w:tr w:rsidR="00106D67" w:rsidRPr="00B96A82" w:rsidTr="00E877EA"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D67" w:rsidRPr="00B96A82" w:rsidRDefault="00106D67" w:rsidP="00106D67">
            <w:pPr>
              <w:spacing w:after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1. GERADOR</w:t>
            </w:r>
          </w:p>
          <w:p w:rsidR="00106D67" w:rsidRPr="00B96A82" w:rsidRDefault="00106D67" w:rsidP="00106D67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 xml:space="preserve"> Instituto de Ciência e Tecnologia-</w:t>
            </w:r>
            <w:r w:rsidRPr="00B96A82">
              <w:rPr>
                <w:rFonts w:ascii="Arial" w:hAnsi="Arial" w:cs="Arial"/>
                <w:sz w:val="20"/>
                <w:szCs w:val="20"/>
              </w:rPr>
              <w:t xml:space="preserve">Universidade Federal de São Paulo </w:t>
            </w:r>
          </w:p>
          <w:p w:rsidR="00106D67" w:rsidRPr="00B96A82" w:rsidRDefault="00106D67" w:rsidP="00106D67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</w:p>
          <w:p w:rsidR="00106D67" w:rsidRPr="00B96A82" w:rsidRDefault="00106D67" w:rsidP="00106D67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 xml:space="preserve">Endereço: </w:t>
            </w:r>
            <w:r w:rsidRPr="00B96A82">
              <w:rPr>
                <w:rFonts w:ascii="Arial" w:hAnsi="Arial" w:cs="Arial"/>
                <w:sz w:val="20"/>
                <w:szCs w:val="20"/>
              </w:rPr>
              <w:t xml:space="preserve">Rua </w:t>
            </w:r>
            <w:proofErr w:type="spellStart"/>
            <w:r w:rsidRPr="00B96A82">
              <w:rPr>
                <w:rFonts w:ascii="Arial" w:hAnsi="Arial" w:cs="Arial"/>
                <w:sz w:val="20"/>
                <w:szCs w:val="20"/>
              </w:rPr>
              <w:t>Talim</w:t>
            </w:r>
            <w:proofErr w:type="spellEnd"/>
            <w:r w:rsidRPr="00B96A82">
              <w:rPr>
                <w:rFonts w:ascii="Arial" w:hAnsi="Arial" w:cs="Arial"/>
                <w:sz w:val="20"/>
                <w:szCs w:val="20"/>
              </w:rPr>
              <w:t xml:space="preserve">, 330, Vila Nair, São José dos Campos-São Paulo. CEP: 12231-280.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B96A82" w:rsidRDefault="00106D67" w:rsidP="00106D67">
            <w:pPr>
              <w:spacing w:after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2. NOME APROPRIADO PARA O EMBARQUE</w:t>
            </w:r>
          </w:p>
          <w:p w:rsidR="00106D67" w:rsidRPr="00B96A82" w:rsidRDefault="00106D67" w:rsidP="00106D67">
            <w:pPr>
              <w:spacing w:after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6D67" w:rsidRPr="00B96A82" w:rsidRDefault="00106D67" w:rsidP="00106D67">
            <w:pPr>
              <w:spacing w:after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SUBSTÂNCIA QUE APRESENTA RISCO P</w:t>
            </w:r>
            <w:r w:rsidR="001E165B" w:rsidRPr="00B96A82">
              <w:rPr>
                <w:rFonts w:ascii="Arial" w:hAnsi="Arial" w:cs="Arial"/>
                <w:b/>
                <w:sz w:val="20"/>
                <w:szCs w:val="20"/>
              </w:rPr>
              <w:t>ARA O MEIO AMBIENTE, SÓLIDA, N.E.</w:t>
            </w:r>
            <w:r w:rsidRPr="00B96A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06D67" w:rsidRPr="00B96A82" w:rsidRDefault="00106D67" w:rsidP="00FE3985">
            <w:pPr>
              <w:spacing w:after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542F5" w:rsidRPr="00B96A82">
              <w:rPr>
                <w:rFonts w:ascii="Arial" w:hAnsi="Arial" w:cs="Arial"/>
                <w:b/>
                <w:sz w:val="20"/>
                <w:szCs w:val="20"/>
              </w:rPr>
              <w:t xml:space="preserve">SULFATO </w:t>
            </w:r>
            <w:r w:rsidR="00264FCF" w:rsidRPr="00B96A82">
              <w:rPr>
                <w:rFonts w:ascii="Arial" w:hAnsi="Arial" w:cs="Arial"/>
                <w:b/>
                <w:sz w:val="20"/>
                <w:szCs w:val="20"/>
              </w:rPr>
              <w:t>COBALTO II</w:t>
            </w:r>
            <w:r w:rsidRPr="00B96A8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6D67" w:rsidRPr="00B96A82" w:rsidRDefault="00106D67" w:rsidP="00106D67">
            <w:pPr>
              <w:spacing w:after="0"/>
              <w:ind w:right="-7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3. INFORMAÇÕES DO RESÍDUO</w:t>
            </w:r>
          </w:p>
          <w:p w:rsidR="00106D67" w:rsidRPr="00B96A82" w:rsidRDefault="00106D67" w:rsidP="00106D67">
            <w:pPr>
              <w:spacing w:after="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 xml:space="preserve">Nº. Risco: </w:t>
            </w:r>
            <w:r w:rsidRPr="00B96A82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106D67" w:rsidRPr="00B96A82" w:rsidRDefault="00106D67" w:rsidP="00106D67">
            <w:pPr>
              <w:spacing w:after="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 xml:space="preserve">Nº. ONU: </w:t>
            </w:r>
            <w:r w:rsidRPr="00B96A82">
              <w:rPr>
                <w:rFonts w:ascii="Arial" w:hAnsi="Arial" w:cs="Arial"/>
                <w:sz w:val="20"/>
                <w:szCs w:val="20"/>
              </w:rPr>
              <w:t>3077</w:t>
            </w:r>
          </w:p>
          <w:p w:rsidR="00106D67" w:rsidRPr="00B96A82" w:rsidRDefault="00106D67" w:rsidP="00106D67">
            <w:pPr>
              <w:spacing w:after="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 xml:space="preserve">Classe ou subclasse de risco: </w:t>
            </w:r>
            <w:r w:rsidRPr="00B96A82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06D67" w:rsidRPr="00B96A82" w:rsidRDefault="00106D67" w:rsidP="00106D67">
            <w:pPr>
              <w:spacing w:after="0"/>
              <w:ind w:right="-79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Descrição da Classe ou Subclasse: SUBSTÂNCIAS E ARTIGOS PERIGOSOS DIVERSOS</w:t>
            </w:r>
          </w:p>
          <w:p w:rsidR="00106D67" w:rsidRPr="00B96A82" w:rsidRDefault="00106D67" w:rsidP="00106D67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 xml:space="preserve">Grupo de Embalagem: </w:t>
            </w:r>
            <w:r w:rsidRPr="00B96A82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106D67" w:rsidRPr="00B96A82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67" w:rsidRPr="00B96A82" w:rsidRDefault="00106D67" w:rsidP="00C907DC">
            <w:pPr>
              <w:ind w:right="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  <w:highlight w:val="red"/>
              </w:rPr>
              <w:t xml:space="preserve">4. TELEFONE: </w:t>
            </w:r>
            <w:r w:rsidRPr="00B96A82">
              <w:rPr>
                <w:rFonts w:ascii="Arial" w:hAnsi="Arial" w:cs="Arial"/>
                <w:bCs/>
                <w:sz w:val="20"/>
                <w:szCs w:val="20"/>
                <w:highlight w:val="red"/>
              </w:rPr>
              <w:t>(12) 3924-9500- Ramal</w:t>
            </w:r>
            <w:r w:rsidRPr="00B96A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06D67" w:rsidRPr="00B96A82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EB8" w:rsidRDefault="00106D67" w:rsidP="00F16EB8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011"/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5. ASPECTO:</w:t>
            </w:r>
            <w:r w:rsidRPr="00B96A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E83" w:rsidRPr="00B96A82">
              <w:rPr>
                <w:rFonts w:ascii="Arial" w:hAnsi="Arial" w:cs="Arial"/>
                <w:sz w:val="20"/>
                <w:szCs w:val="20"/>
              </w:rPr>
              <w:t xml:space="preserve">sólido (cristalino), </w:t>
            </w:r>
            <w:r w:rsidR="00644E83" w:rsidRPr="00B96A82">
              <w:rPr>
                <w:rFonts w:ascii="Arial" w:hAnsi="Arial" w:cs="Arial"/>
                <w:sz w:val="20"/>
                <w:szCs w:val="20"/>
              </w:rPr>
              <w:t>castanho avermelhado</w:t>
            </w:r>
            <w:r w:rsidR="00644E83" w:rsidRPr="00B96A82">
              <w:rPr>
                <w:rFonts w:ascii="Arial" w:hAnsi="Arial" w:cs="Arial"/>
                <w:sz w:val="20"/>
                <w:szCs w:val="20"/>
              </w:rPr>
              <w:t>, inodoro.</w:t>
            </w:r>
          </w:p>
          <w:p w:rsidR="000E3D6E" w:rsidRPr="00B96A82" w:rsidRDefault="000E3D6E" w:rsidP="00F16EB8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011"/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06D67" w:rsidRPr="00B96A82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C14" w:rsidRDefault="00106D67" w:rsidP="00B96A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6. EPI DE USO EXCLUSIVO DA EQUIPE DE ATENDIMENTO A EMERGÊNCIA:</w:t>
            </w:r>
            <w:r w:rsidR="00644E83" w:rsidRPr="00B96A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D63">
              <w:rPr>
                <w:rFonts w:ascii="Arial" w:hAnsi="Arial" w:cs="Arial"/>
                <w:sz w:val="20"/>
                <w:szCs w:val="20"/>
              </w:rPr>
              <w:t xml:space="preserve">Usar luvas, botas e roupas de borracha butílica ou natural, </w:t>
            </w:r>
            <w:proofErr w:type="spellStart"/>
            <w:r w:rsidR="00D57D63">
              <w:rPr>
                <w:rFonts w:ascii="Arial" w:hAnsi="Arial" w:cs="Arial"/>
                <w:sz w:val="20"/>
                <w:szCs w:val="20"/>
              </w:rPr>
              <w:t>pvc</w:t>
            </w:r>
            <w:proofErr w:type="spellEnd"/>
            <w:r w:rsidR="00D57D63"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 w:rsidR="00D57D63">
              <w:rPr>
                <w:rFonts w:ascii="Arial" w:hAnsi="Arial" w:cs="Arial"/>
                <w:sz w:val="20"/>
                <w:szCs w:val="20"/>
              </w:rPr>
              <w:t>neoprene</w:t>
            </w:r>
            <w:proofErr w:type="spellEnd"/>
            <w:r w:rsidR="00D57D6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44E83" w:rsidRPr="00B96A82">
              <w:rPr>
                <w:rFonts w:ascii="Arial" w:hAnsi="Arial" w:cs="Arial"/>
                <w:sz w:val="20"/>
                <w:szCs w:val="20"/>
              </w:rPr>
              <w:t>óculos de segurança com prote</w:t>
            </w:r>
            <w:r w:rsidR="00D57D63">
              <w:rPr>
                <w:rFonts w:ascii="Arial" w:hAnsi="Arial" w:cs="Arial"/>
                <w:sz w:val="20"/>
                <w:szCs w:val="20"/>
              </w:rPr>
              <w:t>ção lateral. P</w:t>
            </w:r>
            <w:r w:rsidR="00644E83" w:rsidRPr="00B96A82">
              <w:rPr>
                <w:rFonts w:ascii="Arial" w:hAnsi="Arial" w:cs="Arial"/>
                <w:sz w:val="20"/>
                <w:szCs w:val="20"/>
              </w:rPr>
              <w:t>roteção respiratória necessária no caso de formação de pós / poeiras: dispositivo filtrador de partículas</w:t>
            </w:r>
            <w:r w:rsidR="00644E83" w:rsidRPr="00B96A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E83" w:rsidRPr="00B96A82">
              <w:rPr>
                <w:rFonts w:ascii="Arial" w:hAnsi="Arial" w:cs="Arial"/>
                <w:sz w:val="20"/>
                <w:szCs w:val="20"/>
              </w:rPr>
              <w:t xml:space="preserve">P3 (filtra pelo menos 99,95% das partículas em suspensão código de cores: </w:t>
            </w:r>
            <w:r w:rsidR="00644E83" w:rsidRPr="00B96A82">
              <w:rPr>
                <w:rFonts w:ascii="Arial" w:hAnsi="Arial" w:cs="Arial"/>
                <w:sz w:val="20"/>
                <w:szCs w:val="20"/>
              </w:rPr>
              <w:t>b</w:t>
            </w:r>
            <w:r w:rsidR="00644E83" w:rsidRPr="00B96A82">
              <w:rPr>
                <w:rFonts w:ascii="Arial" w:hAnsi="Arial" w:cs="Arial"/>
                <w:sz w:val="20"/>
                <w:szCs w:val="20"/>
              </w:rPr>
              <w:t>ranco).</w:t>
            </w:r>
          </w:p>
          <w:p w:rsidR="00B96A82" w:rsidRPr="00B96A82" w:rsidRDefault="00B96A82" w:rsidP="00B96A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6D67" w:rsidRPr="00B96A82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67" w:rsidRPr="00B96A82" w:rsidRDefault="00106D67" w:rsidP="00106D67">
            <w:pPr>
              <w:spacing w:after="0" w:line="360" w:lineRule="auto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7. RISCOS</w:t>
            </w:r>
          </w:p>
          <w:p w:rsidR="005B5268" w:rsidRPr="005B5268" w:rsidRDefault="00106D67" w:rsidP="00264FCF">
            <w:pPr>
              <w:spacing w:after="0" w:line="240" w:lineRule="auto"/>
              <w:ind w:right="-81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 xml:space="preserve">7.1. FOGO: </w:t>
            </w:r>
            <w:r w:rsidR="00264FCF" w:rsidRPr="005B5268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="005B5268" w:rsidRPr="005B5268">
              <w:rPr>
                <w:rFonts w:ascii="Arial" w:hAnsi="Arial" w:cs="Arial"/>
                <w:sz w:val="20"/>
                <w:szCs w:val="20"/>
              </w:rPr>
              <w:t>inflamável</w:t>
            </w:r>
            <w:r w:rsidR="00264FCF" w:rsidRPr="005B5268">
              <w:rPr>
                <w:rFonts w:ascii="Arial" w:hAnsi="Arial" w:cs="Arial"/>
                <w:sz w:val="20"/>
                <w:szCs w:val="20"/>
              </w:rPr>
              <w:t>.</w:t>
            </w:r>
            <w:r w:rsidR="00264FCF" w:rsidRPr="00B96A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526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B5268" w:rsidRPr="005B5268">
              <w:rPr>
                <w:rFonts w:ascii="Arial" w:hAnsi="Arial" w:cs="Arial"/>
                <w:color w:val="000000"/>
                <w:sz w:val="20"/>
                <w:szCs w:val="20"/>
              </w:rPr>
              <w:t>ode formar fumos tóxicos de óxido de cobalto, no fogo.</w:t>
            </w:r>
          </w:p>
          <w:p w:rsidR="00644E83" w:rsidRPr="00B96A82" w:rsidRDefault="00106D67" w:rsidP="00264FCF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 xml:space="preserve">7.2. SAÚDE: </w:t>
            </w:r>
            <w:r w:rsidR="00B96A82" w:rsidRPr="00B96A82">
              <w:rPr>
                <w:rFonts w:ascii="Arial" w:hAnsi="Arial" w:cs="Arial"/>
                <w:sz w:val="20"/>
                <w:szCs w:val="20"/>
              </w:rPr>
              <w:t>P</w:t>
            </w:r>
            <w:r w:rsidR="00B96A82" w:rsidRPr="00B96A82">
              <w:rPr>
                <w:rFonts w:ascii="Arial" w:hAnsi="Arial" w:cs="Arial"/>
                <w:sz w:val="20"/>
                <w:szCs w:val="20"/>
              </w:rPr>
              <w:t xml:space="preserve">erigoso se ingerido ou inalado. </w:t>
            </w:r>
            <w:r w:rsidR="00264FCF" w:rsidRPr="00B96A82">
              <w:rPr>
                <w:rFonts w:ascii="Arial" w:hAnsi="Arial" w:cs="Arial"/>
                <w:sz w:val="20"/>
                <w:szCs w:val="20"/>
              </w:rPr>
              <w:t>Pode provocar uma rea</w:t>
            </w:r>
            <w:r w:rsidR="00264FCF" w:rsidRPr="00B96A82">
              <w:rPr>
                <w:rFonts w:ascii="Arial" w:hAnsi="Arial" w:cs="Arial"/>
                <w:sz w:val="20"/>
                <w:szCs w:val="20"/>
              </w:rPr>
              <w:t xml:space="preserve">ção alérgica cutânea. Quando inalado, pode provocar sintomas de alergia ou de asma ou dificuldades respiratórias. Suspeito de provocar anomalias genéticas. </w:t>
            </w:r>
            <w:r w:rsidR="00264FCF" w:rsidRPr="00B96A82">
              <w:rPr>
                <w:rFonts w:ascii="Arial" w:hAnsi="Arial" w:cs="Arial"/>
                <w:sz w:val="20"/>
                <w:szCs w:val="20"/>
              </w:rPr>
              <w:t xml:space="preserve"> Pode afe</w:t>
            </w:r>
            <w:r w:rsidR="00264FCF" w:rsidRPr="00B96A82">
              <w:rPr>
                <w:rFonts w:ascii="Arial" w:hAnsi="Arial" w:cs="Arial"/>
                <w:sz w:val="20"/>
                <w:szCs w:val="20"/>
              </w:rPr>
              <w:t>tar a fertilidade</w:t>
            </w:r>
            <w:r w:rsidR="00264FCF" w:rsidRPr="00B96A82">
              <w:rPr>
                <w:rFonts w:ascii="Arial" w:hAnsi="Arial" w:cs="Arial"/>
                <w:sz w:val="20"/>
                <w:szCs w:val="20"/>
              </w:rPr>
              <w:t>.</w:t>
            </w:r>
            <w:r w:rsidR="00B96A82" w:rsidRPr="00B96A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6A82" w:rsidRPr="00B96A82">
              <w:rPr>
                <w:rFonts w:ascii="Arial" w:hAnsi="Arial" w:cs="Arial"/>
                <w:sz w:val="20"/>
                <w:szCs w:val="20"/>
              </w:rPr>
              <w:t xml:space="preserve">Exposição crônica pode afetar a </w:t>
            </w:r>
            <w:r w:rsidR="00B96A82" w:rsidRPr="00B96A82">
              <w:rPr>
                <w:rFonts w:ascii="Arial" w:hAnsi="Arial" w:cs="Arial"/>
                <w:sz w:val="20"/>
                <w:szCs w:val="20"/>
              </w:rPr>
              <w:t>tiroide</w:t>
            </w:r>
            <w:r w:rsidR="00B96A82" w:rsidRPr="00B96A82">
              <w:rPr>
                <w:rFonts w:ascii="Arial" w:hAnsi="Arial" w:cs="Arial"/>
                <w:sz w:val="20"/>
                <w:szCs w:val="20"/>
              </w:rPr>
              <w:t>, pulmão, coração e rins.</w:t>
            </w:r>
          </w:p>
          <w:p w:rsidR="00106D67" w:rsidRPr="00B96A82" w:rsidRDefault="00106D67" w:rsidP="00B96A82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7.3. MEIO AMBIENTE:</w:t>
            </w:r>
            <w:r w:rsidRPr="00B96A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6A82" w:rsidRPr="00B96A82">
              <w:rPr>
                <w:rFonts w:ascii="Arial" w:hAnsi="Arial" w:cs="Arial"/>
                <w:sz w:val="20"/>
                <w:szCs w:val="20"/>
              </w:rPr>
              <w:t>P</w:t>
            </w:r>
            <w:r w:rsidR="00B96A82" w:rsidRPr="00B96A82">
              <w:rPr>
                <w:rFonts w:ascii="Arial" w:hAnsi="Arial" w:cs="Arial"/>
                <w:sz w:val="20"/>
                <w:szCs w:val="20"/>
              </w:rPr>
              <w:t>erigoso para o ambiente aquático</w:t>
            </w:r>
            <w:r w:rsidR="00B96A82" w:rsidRPr="00B96A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6D67" w:rsidRPr="00B96A82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67" w:rsidRPr="00B96A82" w:rsidRDefault="00106D67" w:rsidP="00106D67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8. EM CASO DE ACIDENTE</w:t>
            </w:r>
          </w:p>
          <w:p w:rsidR="00390207" w:rsidRPr="00B96A82" w:rsidRDefault="00390207" w:rsidP="00106D67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CF" w:rsidRPr="00B96A82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8.1. VAZAMENTO:</w:t>
            </w:r>
            <w:r w:rsidRPr="00B96A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D6E" w:rsidRPr="000E3D6E">
              <w:rPr>
                <w:rFonts w:ascii="Arial" w:hAnsi="Arial" w:cs="Arial"/>
                <w:sz w:val="20"/>
                <w:szCs w:val="20"/>
              </w:rPr>
              <w:t xml:space="preserve">Ventile a área de vazamento ou derramamento. Use equipamentos de proteção pessoal </w:t>
            </w:r>
            <w:r w:rsidR="000E3D6E" w:rsidRPr="000E3D6E">
              <w:rPr>
                <w:rFonts w:ascii="Arial" w:hAnsi="Arial" w:cs="Arial"/>
                <w:sz w:val="20"/>
                <w:szCs w:val="20"/>
              </w:rPr>
              <w:t>apropriado</w:t>
            </w:r>
            <w:r w:rsidR="000E3D6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E3D6E" w:rsidRPr="000E3D6E">
              <w:rPr>
                <w:rFonts w:ascii="Arial" w:hAnsi="Arial" w:cs="Arial"/>
                <w:sz w:val="20"/>
                <w:szCs w:val="20"/>
              </w:rPr>
              <w:t>Vazamento: recolha para disposição</w:t>
            </w:r>
            <w:r w:rsidR="000E3D6E">
              <w:rPr>
                <w:rFonts w:ascii="Arial" w:hAnsi="Arial" w:cs="Arial"/>
                <w:sz w:val="20"/>
                <w:szCs w:val="20"/>
              </w:rPr>
              <w:t xml:space="preserve"> final</w:t>
            </w:r>
            <w:r w:rsidR="000E3D6E" w:rsidRPr="000E3D6E">
              <w:rPr>
                <w:rFonts w:ascii="Arial" w:hAnsi="Arial" w:cs="Arial"/>
                <w:sz w:val="20"/>
                <w:szCs w:val="20"/>
              </w:rPr>
              <w:t xml:space="preserve">. Limpe o vazamento usando métodos que não gerem pó. </w:t>
            </w:r>
          </w:p>
          <w:p w:rsidR="00264FCF" w:rsidRPr="000E3D6E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 xml:space="preserve">8.2. FOGO: </w:t>
            </w:r>
            <w:r w:rsidR="000E3D6E" w:rsidRPr="00B96A82">
              <w:rPr>
                <w:rFonts w:ascii="Arial" w:hAnsi="Arial" w:cs="Arial"/>
                <w:sz w:val="20"/>
                <w:szCs w:val="20"/>
              </w:rPr>
              <w:t>Combater o incêndio tomando as precauções normais e a partir de uma distância razoável. Use equipamento de respiração aut</w:t>
            </w:r>
            <w:r w:rsidR="000E3D6E">
              <w:rPr>
                <w:rFonts w:ascii="Arial" w:hAnsi="Arial" w:cs="Arial"/>
                <w:sz w:val="20"/>
                <w:szCs w:val="20"/>
              </w:rPr>
              <w:t>ô</w:t>
            </w:r>
            <w:r w:rsidR="000E3D6E" w:rsidRPr="00B96A82">
              <w:rPr>
                <w:rFonts w:ascii="Arial" w:hAnsi="Arial" w:cs="Arial"/>
                <w:sz w:val="20"/>
                <w:szCs w:val="20"/>
              </w:rPr>
              <w:t>nomo.</w:t>
            </w:r>
            <w:r w:rsidR="000E3D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FCF" w:rsidRPr="000E3D6E">
              <w:rPr>
                <w:rFonts w:ascii="Arial" w:hAnsi="Arial" w:cs="Arial"/>
                <w:sz w:val="20"/>
                <w:szCs w:val="20"/>
                <w:u w:val="single"/>
              </w:rPr>
              <w:t>Meios adequados de extinção:</w:t>
            </w:r>
            <w:r w:rsidR="00264FCF" w:rsidRPr="00B96A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4FCF" w:rsidRPr="00B96A82">
              <w:rPr>
                <w:rFonts w:ascii="Arial" w:hAnsi="Arial" w:cs="Arial"/>
                <w:sz w:val="20"/>
                <w:szCs w:val="20"/>
              </w:rPr>
              <w:t>água pulverizada, espuma, pó seco para extinção de incêndios, dióxido de carbono (CO2)</w:t>
            </w:r>
            <w:r w:rsidR="00644E83" w:rsidRPr="00B96A82">
              <w:rPr>
                <w:rFonts w:ascii="Arial" w:hAnsi="Arial" w:cs="Arial"/>
                <w:sz w:val="20"/>
                <w:szCs w:val="20"/>
              </w:rPr>
              <w:t>.</w:t>
            </w:r>
            <w:r w:rsidR="000E3D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E83" w:rsidRPr="00B96A82">
              <w:rPr>
                <w:rFonts w:ascii="Arial" w:hAnsi="Arial" w:cs="Arial"/>
                <w:sz w:val="20"/>
                <w:szCs w:val="20"/>
              </w:rPr>
              <w:t xml:space="preserve">Não permitir que a água de combate a incêndios entre em esgotos ou cursos de água. </w:t>
            </w:r>
          </w:p>
          <w:p w:rsidR="00264FCF" w:rsidRPr="00B96A82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8.3. POLUIÇÃO:</w:t>
            </w:r>
            <w:r w:rsidRPr="00B96A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537" w:rsidRPr="00B96A82">
              <w:rPr>
                <w:rFonts w:ascii="Arial" w:hAnsi="Arial" w:cs="Arial"/>
                <w:sz w:val="20"/>
                <w:szCs w:val="20"/>
              </w:rPr>
              <w:t>Entrar em contato com um serviço profissional credenciado para descarte do produto. Dissolver ou misturar o material com um solvente combustível e queimar em incinerador químico equipado com pós-combustor e purificador de gases. Embalagem: eliminar como produto não utilizado.</w:t>
            </w:r>
          </w:p>
          <w:p w:rsidR="00264FCF" w:rsidRPr="00B96A82" w:rsidRDefault="00106D67" w:rsidP="0007656B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8.4. ENVOLVIMENTO DE PESSOAS</w:t>
            </w:r>
            <w:r w:rsidRPr="00B96A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96A82" w:rsidRPr="00B96A82">
              <w:rPr>
                <w:rFonts w:ascii="Arial" w:hAnsi="Arial" w:cs="Arial"/>
                <w:sz w:val="20"/>
                <w:szCs w:val="20"/>
              </w:rPr>
              <w:t>Recomendação geral: sempre consultar o médico.</w:t>
            </w:r>
            <w:r w:rsidR="000E3D6E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B96A82" w:rsidRPr="00B96A82">
              <w:rPr>
                <w:rFonts w:ascii="Arial" w:hAnsi="Arial" w:cs="Arial"/>
                <w:sz w:val="20"/>
                <w:szCs w:val="20"/>
              </w:rPr>
              <w:t>nalação: Leve a pessoa para ar fresco. Se não estiver respirando, forneça respiração artificial. Se houver dificuldade de respiração, forneça oxigênio. Contato com a pele: Lave imediatamente a pele contaminada com água corrente em abundância, por pelo menos 15 minutos. Retire as roupas e sapatos contaminados. Lave as roupas e limpe os sapatos, antes do reuso. Contato com os olhos: Imediatamente lave os olhos com água em abundância por pelo menos, levantando abaixando as pálpebras ocasionalmente.</w:t>
            </w:r>
            <w:r w:rsidR="00B96A82">
              <w:rPr>
                <w:rFonts w:ascii="Arial" w:hAnsi="Arial" w:cs="Arial"/>
                <w:sz w:val="20"/>
                <w:szCs w:val="20"/>
              </w:rPr>
              <w:t xml:space="preserve"> Ingestão: </w:t>
            </w:r>
            <w:r w:rsidR="00B96A82">
              <w:t>Enxaguar imediatame</w:t>
            </w:r>
            <w:r w:rsidR="000E3D6E">
              <w:t xml:space="preserve">nte a boca e beber água. </w:t>
            </w:r>
          </w:p>
          <w:p w:rsidR="00CC5C9C" w:rsidRPr="000E3D6E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8.5. INFORMAÇÕES AO MÉDICO:</w:t>
            </w:r>
            <w:r w:rsidRPr="00B96A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537" w:rsidRPr="00B96A82">
              <w:rPr>
                <w:rFonts w:ascii="Arial" w:hAnsi="Arial" w:cs="Arial"/>
                <w:sz w:val="20"/>
                <w:szCs w:val="20"/>
              </w:rPr>
              <w:t>Tratamento sintomático.</w:t>
            </w:r>
          </w:p>
          <w:p w:rsidR="00106D67" w:rsidRPr="00B96A82" w:rsidRDefault="00106D67" w:rsidP="0010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8.6. OBSERVAÇÕES:</w:t>
            </w:r>
            <w:r w:rsidRPr="00B96A82">
              <w:rPr>
                <w:rFonts w:ascii="Arial" w:hAnsi="Arial" w:cs="Arial"/>
                <w:sz w:val="20"/>
                <w:szCs w:val="20"/>
              </w:rPr>
              <w:t xml:space="preserve"> As instruções ao motorista em caso de emergência encontram-se descritas exclusivamente no Envelope para o Transporte.</w:t>
            </w:r>
          </w:p>
        </w:tc>
      </w:tr>
    </w:tbl>
    <w:p w:rsidR="00D83AFD" w:rsidRPr="00B96A82" w:rsidRDefault="00D83AFD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E165B" w:rsidRPr="00B96A82" w:rsidRDefault="001E165B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E165B" w:rsidRPr="00B96A82" w:rsidRDefault="001E165B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E165B" w:rsidRPr="00B96A82" w:rsidRDefault="001E165B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E165B" w:rsidRPr="00B96A82" w:rsidRDefault="001E165B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E165B" w:rsidRPr="00B96A82" w:rsidRDefault="001E165B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06D67" w:rsidRPr="00B96A82" w:rsidRDefault="00106D67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  <w:r w:rsidRPr="00B96A82">
        <w:rPr>
          <w:rFonts w:ascii="Arial" w:hAnsi="Arial" w:cs="Arial"/>
          <w:sz w:val="20"/>
          <w:szCs w:val="20"/>
        </w:rPr>
        <w:lastRenderedPageBreak/>
        <w:t>VERSO FICHA DE EMERGÊNCIA</w:t>
      </w:r>
    </w:p>
    <w:p w:rsidR="00106D67" w:rsidRPr="00B96A82" w:rsidRDefault="00106D67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06D67" w:rsidRPr="00B96A82" w:rsidRDefault="00106D67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:rsidR="00106D67" w:rsidRPr="00B96A82" w:rsidRDefault="00106D67" w:rsidP="001E66D4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4194"/>
      </w:tblGrid>
      <w:tr w:rsidR="00106D67" w:rsidRPr="00B96A82"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B96A82" w:rsidRDefault="00106D67">
            <w:pPr>
              <w:spacing w:line="240" w:lineRule="atLeast"/>
              <w:ind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TELEFONES EM CASO DE EMERGÊNCIA:</w:t>
            </w:r>
          </w:p>
        </w:tc>
      </w:tr>
      <w:tr w:rsidR="00106D67" w:rsidRPr="00B96A8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B96A82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BOMBEIROS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B96A82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</w:tr>
      <w:tr w:rsidR="00106D67" w:rsidRPr="00B96A8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B96A82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POLICIA MILITAR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B96A82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</w:tr>
      <w:tr w:rsidR="00106D67" w:rsidRPr="00B96A8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B96A82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DEFESA CIVIL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B96A82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</w:tr>
      <w:tr w:rsidR="00106D67" w:rsidRPr="00B96A8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B96A82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CETESB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B96A82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0800 11 3560</w:t>
            </w:r>
          </w:p>
        </w:tc>
      </w:tr>
      <w:tr w:rsidR="00106D67" w:rsidRPr="00B96A82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B96A82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POLÍCIA RODOVIÁRIA FEDERAL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67" w:rsidRPr="00B96A82" w:rsidRDefault="00106D67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6A82"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</w:tr>
    </w:tbl>
    <w:p w:rsidR="00106D67" w:rsidRPr="00B96A82" w:rsidRDefault="00106D67" w:rsidP="00C42D02">
      <w:pPr>
        <w:spacing w:line="240" w:lineRule="atLeast"/>
        <w:ind w:right="-81"/>
        <w:jc w:val="both"/>
        <w:rPr>
          <w:rFonts w:ascii="Arial" w:hAnsi="Arial" w:cs="Arial"/>
          <w:sz w:val="20"/>
          <w:szCs w:val="20"/>
        </w:rPr>
      </w:pPr>
    </w:p>
    <w:p w:rsidR="00E53A61" w:rsidRPr="00B96A82" w:rsidRDefault="00E53A61">
      <w:pPr>
        <w:rPr>
          <w:rFonts w:ascii="Arial" w:hAnsi="Arial" w:cs="Arial"/>
          <w:sz w:val="20"/>
          <w:szCs w:val="20"/>
        </w:rPr>
      </w:pPr>
    </w:p>
    <w:sectPr w:rsidR="00E53A61" w:rsidRPr="00B96A82" w:rsidSect="00BE6E8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67"/>
    <w:rsid w:val="0007656B"/>
    <w:rsid w:val="000C5F82"/>
    <w:rsid w:val="000E3D6E"/>
    <w:rsid w:val="00106D67"/>
    <w:rsid w:val="001B0F29"/>
    <w:rsid w:val="001E165B"/>
    <w:rsid w:val="00264FCF"/>
    <w:rsid w:val="00390207"/>
    <w:rsid w:val="004542F5"/>
    <w:rsid w:val="005B5268"/>
    <w:rsid w:val="00617727"/>
    <w:rsid w:val="00644E83"/>
    <w:rsid w:val="0096504F"/>
    <w:rsid w:val="00AA37F6"/>
    <w:rsid w:val="00B17537"/>
    <w:rsid w:val="00B96A82"/>
    <w:rsid w:val="00C61C24"/>
    <w:rsid w:val="00C701C4"/>
    <w:rsid w:val="00C907DC"/>
    <w:rsid w:val="00CC5C9C"/>
    <w:rsid w:val="00D03B93"/>
    <w:rsid w:val="00D04438"/>
    <w:rsid w:val="00D57D63"/>
    <w:rsid w:val="00D77523"/>
    <w:rsid w:val="00D83AFD"/>
    <w:rsid w:val="00E53A61"/>
    <w:rsid w:val="00F16EB8"/>
    <w:rsid w:val="00FA4C14"/>
    <w:rsid w:val="00FE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97F16-5229-4819-B6B4-7CB9BE66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trampo">
    <w:name w:val="texto trampo"/>
    <w:basedOn w:val="Normal"/>
    <w:rsid w:val="00106D67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font011">
    <w:name w:val="font011"/>
    <w:rsid w:val="00106D67"/>
    <w:rPr>
      <w:rFonts w:ascii="Verdana" w:hAnsi="Verdana" w:hint="default"/>
      <w:b w:val="0"/>
      <w:bCs w:val="0"/>
      <w:i w:val="0"/>
      <w:iCs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Maraisa Goncalves</dc:creator>
  <cp:lastModifiedBy>Usuário do Windows</cp:lastModifiedBy>
  <cp:revision>5</cp:revision>
  <dcterms:created xsi:type="dcterms:W3CDTF">2020-12-29T14:50:00Z</dcterms:created>
  <dcterms:modified xsi:type="dcterms:W3CDTF">2020-12-29T16:28:00Z</dcterms:modified>
</cp:coreProperties>
</file>