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62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600"/>
        <w:gridCol w:w="3600"/>
        <w:tblGridChange w:id="0">
          <w:tblGrid>
            <w:gridCol w:w="3420"/>
            <w:gridCol w:w="3600"/>
            <w:gridCol w:w="3600"/>
          </w:tblGrid>
        </w:tblGridChange>
      </w:tblGrid>
      <w:t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Peróxido de Hidrogênio</w:t>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58</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2014</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5.1</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Substâncias Oxidantes</w:t>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II</w:t>
            </w: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after="200" w:before="20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Líquido. Incompatível com explosivos de demolição do tipo C (n° ONU 0083) e o nitrato de amônio (n° ONU 1942), nitrato de amônio, fertilizantes (n° ONU 2067) e nitrato de metais alcalinos (n° ONU 1451, 2722, 1486 e 1498), nitrato de rubídio e metais alcalinos-terrosos (n° ONU 1446, 2464, 1454, 1474 e 1507). Incompatível com substâncias auto-reagentes com risco subsidiário de explosivo, peróxidos orgânicos com risco subsidiário de explosivos e explosivos da classe 1 (exceto n° ONU 0081, 0082, 0084, 0241 e da subclasse 1.4 do grupo de compatibilidade S).</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0"/>
                <w:i w:val="0"/>
                <w:sz w:val="20"/>
                <w:szCs w:val="20"/>
              </w:rPr>
            </w:pPr>
            <w:r w:rsidDel="00000000" w:rsidR="00000000" w:rsidRPr="00000000">
              <w:rPr>
                <w:rtl w:val="0"/>
              </w:rPr>
            </w:r>
          </w:p>
        </w:tc>
      </w:tr>
      <w:tr>
        <w:trPr>
          <w:trHeight w:val="259"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spacing w:after="0" w:before="20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F">
            <w:pPr>
              <w:spacing w:after="0" w:line="240" w:lineRule="auto"/>
              <w:jc w:val="both"/>
              <w:rPr>
                <w:rFonts w:ascii="Arial" w:cs="Arial" w:eastAsia="Arial" w:hAnsi="Arial"/>
                <w:i w:val="0"/>
                <w:sz w:val="18"/>
                <w:szCs w:val="18"/>
              </w:rPr>
            </w:pPr>
            <w:r w:rsidDel="00000000" w:rsidR="00000000" w:rsidRPr="00000000">
              <w:rPr>
                <w:rFonts w:ascii="Arial" w:cs="Arial" w:eastAsia="Arial" w:hAnsi="Arial"/>
                <w:sz w:val="20"/>
                <w:szCs w:val="20"/>
                <w:rtl w:val="0"/>
              </w:rPr>
              <w:t xml:space="preserve">Luvas de PVC. Roupa especial antiácida (PVC), botas de PVC ou borracha, capacete, peça facial inteira (máscara panorâmica) com filtro para Vapores Orgânicos/ Gases Ácidos combinado com filtro mecânico. Equipamento de respiração autônoma de pressão positiva por demanda e vestimenta completa no caso de emergência envolvendo fogo. </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after="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A combustão do produto químico ou de sua embalagem pode formar gases irritantes e tóxicos como monóxido e dióxido de carbono. Muito perigoso quando exposto a materiais combustíveis, inflamáveis ou explosivos. A decomposição térmica libera oxigênio, o que favorece a combustão no caso de incêndio. Os recipientes podem explodir quando aquecidos.</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Nocivo se ingerido. Pode ser nocivo em contato com a pele. Provoca queimadura severa à pele com dor, formação de bolhas e descamação. Provoca lesões oculares graves com queimadura, lacrimejamento, dor e possibilidade de lesões oculares irreversíveis como opacidade permanente da córnea e cegueira. Pode provocar irritação das vias respiratórias podendo ocasionar tosse e espirros. Devido à corrosividade, a ingestão pode provocar corrosão das membranas mucosas da boca e garganta, perfuração do estômago e esôfago, ulceração e dor epigástrica intensa com náusea, diarreia e vômito.</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MEIO AMBIENTE: Tóxico para organismos aquáticos e animais terrestres. Pode causar efeitos prejudiciais em longo prazo no meio ambiente. Facilmente degradável. Não bioacumulativo. Solúvel em água. Vapor do produto é mais pesado que o ar. Densidade relativa: 1,08-1,13 g/cm3 a 20°C. Densidade do vapor: 1,03.</w:t>
            </w:r>
          </w:p>
          <w:p w:rsidR="00000000" w:rsidDel="00000000" w:rsidP="00000000" w:rsidRDefault="00000000" w:rsidRPr="00000000" w14:paraId="00000026">
            <w:pPr>
              <w:spacing w:after="0" w:line="240" w:lineRule="auto"/>
              <w:jc w:val="both"/>
              <w:rPr>
                <w:rFonts w:ascii="Arial" w:cs="Arial" w:eastAsia="Arial" w:hAnsi="Arial"/>
                <w:b w:val="1"/>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9">
            <w:pPr>
              <w:tabs>
                <w:tab w:val="center" w:pos="5241"/>
                <w:tab w:val="left" w:pos="7215"/>
              </w:tabs>
              <w:spacing w:after="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A">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8.1. VAZAMENTO: </w:t>
            </w:r>
            <w:r w:rsidDel="00000000" w:rsidR="00000000" w:rsidRPr="00000000">
              <w:rPr>
                <w:rFonts w:ascii="Arial" w:cs="Arial" w:eastAsia="Arial" w:hAnsi="Arial"/>
                <w:sz w:val="20"/>
                <w:szCs w:val="20"/>
                <w:rtl w:val="0"/>
              </w:rPr>
              <w:t xml:space="preserve">Isole a área de derramamento ou vazamento em um raio de, no mínimo, 50 metros em todas as direções. Não toque nos recipientes ou material derramado sem uso de vestimentas de proteção adequadas. Pare o vazamento, se isso puder ser feito sem risco. Utilize barreiras naturais ou de contenção de derrame, caso seja aplicável. Em pequenos derramamentos, cubra com terra seca, areia seca ou outro material não combustível e cubra com lona plástica para reduzir a dispersão ou o contato com a chuva. Recolha o material com ferramentas limpas que não provocam faíscas e acondicione em recipientes plásticos para posterior destinação. Se possível, fazer o transbordo para um tanque de emergência de polietileno.</w:t>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Isole o vazamento de fontes de ignição preventivamente. Não fume. Contêineres e tanques envolvidos no incêndio devem ser resfriados com neblina d’água. Não permita a entrada de água nos recipientes. Meios de extinção apropriados: Compatível com dióxido de carbono (CO2) ou neblina d’água. Não recomendados: Jato d’água de forma direta e Pó químico seco (PQS).</w:t>
            </w: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Avise a Defesa Civil – fone 199 – ligação gratuita. Evite que o produto derramado atinja cursos d’água e rede de esgotos. O material proveniente do combate ao fogo pode causar poluição e deve ser contido. O produto remanescente deve ser coletado com uma pá limpa ou outro instrumento que não o disperse, acondicionado em recipiente apropriado e removido para local seguro. A disposição deste produto deverá ser realizada com acompanhamento de especialista e de acordo com a legislação ambiental vigente.</w:t>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em todos os casos. Inalação – Remova a vítima para local ventilado e a mantenha em repouso numa posição que não dificulte a respiração. Contato com a pele – Em caso de contato com a pele (ou cabelo): Retire imediatamente toda a roupa contaminada. Enxágue a pele com água ou tome uma ducha. Contato com os olhos – Enxágue cuidadosamente com água durante vários minutos. No caso de uso de lentes de contato, remova-as, se for fácil e enxague novamente. Ingestão – Não induza o vômito. Lave a boca da vítima com água em abundância. Nunca forneça algo via oral a uma pessoa inconsciente.</w:t>
            </w:r>
          </w:p>
          <w:p w:rsidR="00000000" w:rsidDel="00000000" w:rsidP="00000000" w:rsidRDefault="00000000" w:rsidRPr="00000000" w14:paraId="00000031">
            <w:pPr>
              <w:spacing w:after="0" w:line="240" w:lineRule="auto"/>
              <w:ind w:right="-81"/>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Evite contato com o produto ao socorrer a vítima. Se necessário, o tratamento sintomático deve compreender, sobretudo, medidas de suporte como correção de distúrbios hidroeletrolíticos, metabólicos, além de assistência respiratória.</w:t>
            </w: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38">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9">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A">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9">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lRmTpFRm8JoY/+07ADoqKAC5ug==">AMUW2mWAIg3wJcwRWbujOP0VB5nAPfyFJxNVDTzSov/NNLNfM3dXmlDL4FZTK9SGGb+1BN+gGdmtadLpQohpTyAHLXPJoxNkOStYawETgrSvYecwDDT+D7w=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2020-12-22T19:39:00Z</dcterms:created>
  <dc:creator>Maraisa Goncalves</dc:creator>
</cp:coreProperties>
</file>