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360" w:right="-81" w:firstLine="0"/>
        <w:jc w:val="center"/>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-888999</wp:posOffset>
                </wp:positionH>
                <wp:positionV relativeFrom="paragraph">
                  <wp:posOffset>114300</wp:posOffset>
                </wp:positionV>
                <wp:extent cx="7146290" cy="8999855"/>
                <wp:effectExtent b="0" l="0" r="0" t="0"/>
                <wp:wrapNone/>
                <wp:docPr id="2" name=""/>
                <a:graphic>
                  <a:graphicData uri="http://schemas.microsoft.com/office/word/2010/wordprocessingGroup">
                    <wpg:wgp>
                      <wpg:cNvGrpSpPr/>
                      <wpg:grpSpPr>
                        <a:xfrm>
                          <a:off x="1772855" y="0"/>
                          <a:ext cx="7146290" cy="8999855"/>
                          <a:chOff x="1772855" y="0"/>
                          <a:chExt cx="7146290" cy="7560000"/>
                        </a:xfrm>
                      </wpg:grpSpPr>
                      <wpg:grpSp>
                        <wpg:cNvGrpSpPr/>
                        <wpg:grpSpPr>
                          <a:xfrm>
                            <a:off x="1772855" y="0"/>
                            <a:ext cx="7146290" cy="7560000"/>
                            <a:chOff x="407" y="899"/>
                            <a:chExt cx="11246" cy="14173"/>
                          </a:xfrm>
                        </wpg:grpSpPr>
                        <wps:wsp>
                          <wps:cNvSpPr/>
                          <wps:cNvPr id="3" name="Shape 3"/>
                          <wps:spPr>
                            <a:xfrm>
                              <a:off x="407" y="899"/>
                              <a:ext cx="11225" cy="14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07" y="899"/>
                              <a:ext cx="283" cy="14173"/>
                            </a:xfrm>
                            <a:prstGeom prst="rect">
                              <a:avLst/>
                            </a:prstGeom>
                            <a:solidFill>
                              <a:srgbClr val="FF000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wps:wsp>
                          <wps:cNvSpPr/>
                          <wps:cNvPr id="5" name="Shape 5"/>
                          <wps:spPr>
                            <a:xfrm>
                              <a:off x="11370" y="899"/>
                              <a:ext cx="283" cy="14173"/>
                            </a:xfrm>
                            <a:prstGeom prst="rect">
                              <a:avLst/>
                            </a:prstGeom>
                            <a:solidFill>
                              <a:srgbClr val="FF000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-888999</wp:posOffset>
                </wp:positionH>
                <wp:positionV relativeFrom="paragraph">
                  <wp:posOffset>114300</wp:posOffset>
                </wp:positionV>
                <wp:extent cx="7146290" cy="899985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146290" cy="8999855"/>
                        </a:xfrm>
                        <a:prstGeom prst="rect"/>
                        <a:ln/>
                      </pic:spPr>
                    </pic:pic>
                  </a:graphicData>
                </a:graphic>
              </wp:anchor>
            </w:drawing>
          </mc:Fallback>
        </mc:AlternateContent>
      </w:r>
    </w:p>
    <w:p w:rsidR="00000000" w:rsidDel="00000000" w:rsidP="00000000" w:rsidRDefault="00000000" w:rsidRPr="00000000" w14:paraId="00000002">
      <w:pPr>
        <w:spacing w:after="0" w:line="240" w:lineRule="auto"/>
        <w:ind w:left="-360" w:right="-81" w:firstLine="0"/>
        <w:jc w:val="center"/>
        <w:rPr>
          <w:rFonts w:ascii="Arial" w:cs="Arial" w:eastAsia="Arial" w:hAnsi="Arial"/>
          <w:b w:val="1"/>
        </w:rPr>
      </w:pPr>
      <w:r w:rsidDel="00000000" w:rsidR="00000000" w:rsidRPr="00000000">
        <w:rPr>
          <w:rFonts w:ascii="Arial" w:cs="Arial" w:eastAsia="Arial" w:hAnsi="Arial"/>
          <w:b w:val="1"/>
          <w:rtl w:val="0"/>
        </w:rPr>
        <w:t xml:space="preserve">FICHA DE EMERGÊNCIA</w:t>
      </w:r>
    </w:p>
    <w:p w:rsidR="00000000" w:rsidDel="00000000" w:rsidP="00000000" w:rsidRDefault="00000000" w:rsidRPr="00000000" w14:paraId="00000003">
      <w:pPr>
        <w:spacing w:after="0" w:line="240" w:lineRule="auto"/>
        <w:ind w:left="-357" w:right="-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4">
      <w:pPr>
        <w:spacing w:after="0" w:line="240" w:lineRule="auto"/>
        <w:ind w:left="-357" w:right="-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5">
      <w:pPr>
        <w:spacing w:after="0" w:line="240" w:lineRule="auto"/>
        <w:ind w:left="-357" w:right="-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6">
      <w:pPr>
        <w:spacing w:after="0" w:line="240" w:lineRule="auto"/>
        <w:ind w:left="-357" w:right="-79" w:firstLine="0"/>
        <w:jc w:val="center"/>
        <w:rPr>
          <w:rFonts w:ascii="Arial" w:cs="Arial" w:eastAsia="Arial" w:hAnsi="Arial"/>
          <w:b w:val="1"/>
          <w:sz w:val="2"/>
          <w:szCs w:val="2"/>
        </w:rPr>
      </w:pPr>
      <w:r w:rsidDel="00000000" w:rsidR="00000000" w:rsidRPr="00000000">
        <w:rPr>
          <w:rtl w:val="0"/>
        </w:rPr>
      </w:r>
    </w:p>
    <w:tbl>
      <w:tblPr>
        <w:tblStyle w:val="Table1"/>
        <w:tblW w:w="10496.999999999998" w:type="dxa"/>
        <w:jc w:val="left"/>
        <w:tblInd w:w="-9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80"/>
        <w:gridCol w:w="3558"/>
        <w:gridCol w:w="3559"/>
        <w:tblGridChange w:id="0">
          <w:tblGrid>
            <w:gridCol w:w="3380"/>
            <w:gridCol w:w="3558"/>
            <w:gridCol w:w="3559"/>
          </w:tblGrid>
        </w:tblGridChange>
      </w:tblGrid>
      <w:tr>
        <w:trPr>
          <w:trHeight w:val="1984" w:hRule="atLeast"/>
        </w:trPr>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7">
            <w:pPr>
              <w:spacing w:after="0" w:lineRule="auto"/>
              <w:ind w:right="-79"/>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GERADOR</w:t>
            </w:r>
          </w:p>
          <w:p w:rsidR="00000000" w:rsidDel="00000000" w:rsidP="00000000" w:rsidRDefault="00000000" w:rsidRPr="00000000" w14:paraId="00000008">
            <w:pPr>
              <w:spacing w:after="0" w:lineRule="auto"/>
              <w:ind w:right="-79"/>
              <w:rPr>
                <w:rFonts w:ascii="Arial" w:cs="Arial" w:eastAsia="Arial" w:hAnsi="Arial"/>
                <w:sz w:val="20"/>
                <w:szCs w:val="20"/>
              </w:rPr>
            </w:pPr>
            <w:r w:rsidDel="00000000" w:rsidR="00000000" w:rsidRPr="00000000">
              <w:rPr>
                <w:rFonts w:ascii="Arial" w:cs="Arial" w:eastAsia="Arial" w:hAnsi="Arial"/>
                <w:b w:val="1"/>
                <w:sz w:val="20"/>
                <w:szCs w:val="20"/>
                <w:rtl w:val="0"/>
              </w:rPr>
              <w:t xml:space="preserve"> Instituto de Ciência e Tecnologia-</w:t>
            </w:r>
            <w:r w:rsidDel="00000000" w:rsidR="00000000" w:rsidRPr="00000000">
              <w:rPr>
                <w:rFonts w:ascii="Arial" w:cs="Arial" w:eastAsia="Arial" w:hAnsi="Arial"/>
                <w:sz w:val="20"/>
                <w:szCs w:val="20"/>
                <w:rtl w:val="0"/>
              </w:rPr>
              <w:t xml:space="preserve">Universidade Federal de São Paulo </w:t>
            </w:r>
          </w:p>
          <w:p w:rsidR="00000000" w:rsidDel="00000000" w:rsidP="00000000" w:rsidRDefault="00000000" w:rsidRPr="00000000" w14:paraId="00000009">
            <w:pPr>
              <w:spacing w:after="0" w:lineRule="auto"/>
              <w:ind w:right="-7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Endereço: </w:t>
            </w:r>
            <w:r w:rsidDel="00000000" w:rsidR="00000000" w:rsidRPr="00000000">
              <w:rPr>
                <w:rFonts w:ascii="Arial" w:cs="Arial" w:eastAsia="Arial" w:hAnsi="Arial"/>
                <w:sz w:val="20"/>
                <w:szCs w:val="20"/>
                <w:rtl w:val="0"/>
              </w:rPr>
              <w:t xml:space="preserve">Rua Talim, 330, Vila Nair, São José dos Campos-São Paulo. CEP: 12231-280.</w:t>
            </w:r>
          </w:p>
          <w:p w:rsidR="00000000" w:rsidDel="00000000" w:rsidP="00000000" w:rsidRDefault="00000000" w:rsidRPr="00000000" w14:paraId="0000000B">
            <w:pPr>
              <w:spacing w:after="0" w:line="240" w:lineRule="auto"/>
              <w:ind w:right="-81"/>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240" w:lineRule="auto"/>
              <w:ind w:right="-8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NOME APROPRIADO PARA O EMBARQUE</w:t>
            </w:r>
          </w:p>
          <w:p w:rsidR="00000000" w:rsidDel="00000000" w:rsidP="00000000" w:rsidRDefault="00000000" w:rsidRPr="00000000" w14:paraId="0000000D">
            <w:pPr>
              <w:spacing w:after="0" w:line="240" w:lineRule="auto"/>
              <w:ind w:right="-8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E">
            <w:pPr>
              <w:spacing w:after="0" w:line="240" w:lineRule="auto"/>
              <w:ind w:right="-81"/>
              <w:jc w:val="cente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0F">
            <w:pPr>
              <w:spacing w:after="0" w:line="240" w:lineRule="auto"/>
              <w:ind w:right="-81"/>
              <w:jc w:val="center"/>
              <w:rPr>
                <w:rFonts w:ascii="Arial" w:cs="Arial" w:eastAsia="Arial" w:hAnsi="Arial"/>
                <w:b w:val="1"/>
                <w:sz w:val="30"/>
                <w:szCs w:val="30"/>
              </w:rPr>
            </w:pPr>
            <w:r w:rsidDel="00000000" w:rsidR="00000000" w:rsidRPr="00000000">
              <w:rPr>
                <w:rFonts w:ascii="Arial" w:cs="Arial" w:eastAsia="Arial" w:hAnsi="Arial"/>
                <w:b w:val="1"/>
                <w:color w:val="434343"/>
                <w:sz w:val="30"/>
                <w:szCs w:val="30"/>
                <w:rtl w:val="0"/>
              </w:rPr>
              <w:t xml:space="preserve">Iodoacetamida</w:t>
            </w:r>
            <w:r w:rsidDel="00000000" w:rsidR="00000000" w:rsidRPr="00000000">
              <w:rPr>
                <w:rtl w:val="0"/>
              </w:rPr>
            </w:r>
          </w:p>
          <w:p w:rsidR="00000000" w:rsidDel="00000000" w:rsidP="00000000" w:rsidRDefault="00000000" w:rsidRPr="00000000" w14:paraId="00000010">
            <w:pPr>
              <w:spacing w:after="0" w:line="240" w:lineRule="auto"/>
              <w:ind w:right="-81"/>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11">
            <w:pPr>
              <w:spacing w:after="0" w:line="240" w:lineRule="auto"/>
              <w:ind w:right="-8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INFORMAÇÕES DO RESÍDUO</w:t>
            </w:r>
          </w:p>
          <w:p w:rsidR="00000000" w:rsidDel="00000000" w:rsidP="00000000" w:rsidRDefault="00000000" w:rsidRPr="00000000" w14:paraId="00000012">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Nº. Risco: </w:t>
            </w:r>
            <w:r w:rsidDel="00000000" w:rsidR="00000000" w:rsidRPr="00000000">
              <w:rPr>
                <w:rFonts w:ascii="Arial" w:cs="Arial" w:eastAsia="Arial" w:hAnsi="Arial"/>
                <w:sz w:val="20"/>
                <w:szCs w:val="20"/>
                <w:rtl w:val="0"/>
              </w:rPr>
              <w:t xml:space="preserve">60</w:t>
            </w:r>
          </w:p>
          <w:p w:rsidR="00000000" w:rsidDel="00000000" w:rsidP="00000000" w:rsidRDefault="00000000" w:rsidRPr="00000000" w14:paraId="00000013">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Nº. ONU: </w:t>
            </w:r>
            <w:r w:rsidDel="00000000" w:rsidR="00000000" w:rsidRPr="00000000">
              <w:rPr>
                <w:rFonts w:ascii="Arial" w:cs="Arial" w:eastAsia="Arial" w:hAnsi="Arial"/>
                <w:sz w:val="20"/>
                <w:szCs w:val="20"/>
                <w:rtl w:val="0"/>
              </w:rPr>
              <w:t xml:space="preserve">2811</w:t>
            </w:r>
          </w:p>
          <w:p w:rsidR="00000000" w:rsidDel="00000000" w:rsidP="00000000" w:rsidRDefault="00000000" w:rsidRPr="00000000" w14:paraId="00000014">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Classe ou subclasse de risco: </w:t>
            </w:r>
            <w:r w:rsidDel="00000000" w:rsidR="00000000" w:rsidRPr="00000000">
              <w:rPr>
                <w:rFonts w:ascii="Arial" w:cs="Arial" w:eastAsia="Arial" w:hAnsi="Arial"/>
                <w:sz w:val="20"/>
                <w:szCs w:val="20"/>
                <w:rtl w:val="0"/>
              </w:rPr>
              <w:t xml:space="preserve">6.1</w:t>
            </w:r>
          </w:p>
          <w:p w:rsidR="00000000" w:rsidDel="00000000" w:rsidP="00000000" w:rsidRDefault="00000000" w:rsidRPr="00000000" w14:paraId="00000015">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Descrição da classe ou subclasse: </w:t>
            </w:r>
            <w:r w:rsidDel="00000000" w:rsidR="00000000" w:rsidRPr="00000000">
              <w:rPr>
                <w:rFonts w:ascii="Arial" w:cs="Arial" w:eastAsia="Arial" w:hAnsi="Arial"/>
                <w:sz w:val="20"/>
                <w:szCs w:val="20"/>
                <w:rtl w:val="0"/>
              </w:rPr>
              <w:t xml:space="preserve">Substancia tóxicas</w:t>
            </w:r>
          </w:p>
          <w:p w:rsidR="00000000" w:rsidDel="00000000" w:rsidP="00000000" w:rsidRDefault="00000000" w:rsidRPr="00000000" w14:paraId="00000016">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Grupo de Embalagem: </w:t>
            </w:r>
            <w:r w:rsidDel="00000000" w:rsidR="00000000" w:rsidRPr="00000000">
              <w:rPr>
                <w:rFonts w:ascii="Arial" w:cs="Arial" w:eastAsia="Arial" w:hAnsi="Arial"/>
                <w:sz w:val="20"/>
                <w:szCs w:val="20"/>
                <w:rtl w:val="0"/>
              </w:rPr>
              <w:t xml:space="preserve">III</w:t>
            </w:r>
          </w:p>
        </w:tc>
      </w:tr>
      <w:tr>
        <w:trPr>
          <w:trHeight w:val="671" w:hRule="atLeast"/>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7">
            <w:pPr>
              <w:spacing w:before="240" w:line="240" w:lineRule="auto"/>
              <w:ind w:right="7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TELEFONE: </w:t>
            </w:r>
            <w:r w:rsidDel="00000000" w:rsidR="00000000" w:rsidRPr="00000000">
              <w:rPr>
                <w:rFonts w:ascii="Arial" w:cs="Arial" w:eastAsia="Arial" w:hAnsi="Arial"/>
                <w:sz w:val="20"/>
                <w:szCs w:val="20"/>
                <w:rtl w:val="0"/>
              </w:rPr>
              <w:t xml:space="preserve">(12) 3924-9500- Ramal 9507</w:t>
            </w:r>
            <w:r w:rsidDel="00000000" w:rsidR="00000000" w:rsidRPr="00000000">
              <w:rPr>
                <w:rtl w:val="0"/>
              </w:rPr>
            </w:r>
          </w:p>
        </w:tc>
      </w:tr>
      <w:tr>
        <w:trPr>
          <w:trHeight w:val="1368" w:hRule="atLeast"/>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A">
            <w:pPr>
              <w:spacing w:after="0" w:before="24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ASPECTO: </w:t>
            </w:r>
          </w:p>
          <w:p w:rsidR="00000000" w:rsidDel="00000000" w:rsidP="00000000" w:rsidRDefault="00000000" w:rsidRPr="00000000" w14:paraId="0000001B">
            <w:pPr>
              <w:spacing w:line="240" w:lineRule="auto"/>
              <w:jc w:val="both"/>
              <w:rPr>
                <w:rFonts w:ascii="Arial" w:cs="Arial" w:eastAsia="Arial" w:hAnsi="Arial"/>
                <w:b w:val="0"/>
                <w:i w:val="0"/>
                <w:sz w:val="20"/>
                <w:szCs w:val="20"/>
              </w:rPr>
            </w:pPr>
            <w:r w:rsidDel="00000000" w:rsidR="00000000" w:rsidRPr="00000000">
              <w:rPr>
                <w:rFonts w:ascii="Arial" w:cs="Arial" w:eastAsia="Arial" w:hAnsi="Arial"/>
                <w:sz w:val="20"/>
                <w:szCs w:val="20"/>
                <w:rtl w:val="0"/>
              </w:rPr>
              <w:t xml:space="preserve">Pó, finamente cristalino, coloração amarela, com odor agradável. Ponto de fusão: 91-94°C. Hidrossolubilidade 100 g/l. Evitar a exposição à luz, pois pode afetar a qualidade do produto. Incompatível com Ácidos fortes, Bases fortes, Agentes oxidantes fortes, Agentes redutores fortes. </w:t>
            </w:r>
            <w:r w:rsidDel="00000000" w:rsidR="00000000" w:rsidRPr="00000000">
              <w:rPr>
                <w:rtl w:val="0"/>
              </w:rPr>
            </w:r>
          </w:p>
        </w:tc>
      </w:tr>
      <w:tr>
        <w:trPr>
          <w:trHeight w:val="260" w:hRule="atLeast"/>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E">
            <w:pPr>
              <w:spacing w:after="0" w:before="24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 EPI DE USO EXCLUSIVO DA EQUIPE DE ATENDIMENTO A EMERGÊNCIA: </w:t>
            </w:r>
          </w:p>
          <w:p w:rsidR="00000000" w:rsidDel="00000000" w:rsidP="00000000" w:rsidRDefault="00000000" w:rsidRPr="00000000" w14:paraId="0000001F">
            <w:pPr>
              <w:spacing w:line="240" w:lineRule="auto"/>
              <w:jc w:val="both"/>
              <w:rPr>
                <w:rFonts w:ascii="Arial" w:cs="Arial" w:eastAsia="Arial" w:hAnsi="Arial"/>
                <w:b w:val="0"/>
                <w:i w:val="0"/>
                <w:sz w:val="20"/>
                <w:szCs w:val="20"/>
              </w:rPr>
            </w:pPr>
            <w:r w:rsidDel="00000000" w:rsidR="00000000" w:rsidRPr="00000000">
              <w:rPr>
                <w:rFonts w:ascii="Arial" w:cs="Arial" w:eastAsia="Arial" w:hAnsi="Arial"/>
                <w:sz w:val="20"/>
                <w:szCs w:val="20"/>
                <w:rtl w:val="0"/>
              </w:rPr>
              <w:t xml:space="preserve">Usar equipamento de respiração autônomo para combate a incêndios, se necessário. Óculos de segurança; luvas de nitrilo; roupas de proteção; proteção respiratória, filtro P2.</w:t>
            </w:r>
            <w:r w:rsidDel="00000000" w:rsidR="00000000" w:rsidRPr="00000000">
              <w:rPr>
                <w:rtl w:val="0"/>
              </w:rPr>
            </w:r>
          </w:p>
        </w:tc>
      </w:tr>
      <w:tr>
        <w:trPr>
          <w:trHeight w:val="2093" w:hRule="atLeast"/>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2">
            <w:pPr>
              <w:spacing w:after="0" w:before="240" w:line="240" w:lineRule="auto"/>
              <w:ind w:right="-79"/>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 RISCOS</w:t>
            </w:r>
          </w:p>
          <w:p w:rsidR="00000000" w:rsidDel="00000000" w:rsidP="00000000" w:rsidRDefault="00000000" w:rsidRPr="00000000" w14:paraId="0000002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7.1. FOGO: Material combustível, em caso de incêndio formam-se gases inflamáveis e vapores perigosos: óxido nítrico, iodeto de hidrogênio.</w:t>
            </w:r>
          </w:p>
          <w:p w:rsidR="00000000" w:rsidDel="00000000" w:rsidP="00000000" w:rsidRDefault="00000000" w:rsidRPr="00000000" w14:paraId="0000002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7.2. SAÚDE: Pode ser perigoso se for inalado e causar irritação do aparelho respiratório. Tóxico se ingerido. Pode ser perigoso se for absorto pela pele e causar irritação. Pode causar irritação dos olhos.</w:t>
            </w:r>
          </w:p>
          <w:p w:rsidR="00000000" w:rsidDel="00000000" w:rsidP="00000000" w:rsidRDefault="00000000" w:rsidRPr="00000000" w14:paraId="0000002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7.3. MEIO AMBIENTE: Não biodegradável. Há indicações de bioacumulação.</w:t>
            </w:r>
          </w:p>
        </w:tc>
      </w:tr>
      <w:tr>
        <w:trPr>
          <w:trHeight w:val="5036" w:hRule="atLeast"/>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8">
            <w:pPr>
              <w:tabs>
                <w:tab w:val="center" w:pos="5241"/>
                <w:tab w:val="left" w:pos="7215"/>
              </w:tabs>
              <w:spacing w:after="0" w:before="240" w:line="240" w:lineRule="auto"/>
              <w:ind w:right="-79"/>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8. EM CASO DE ACIDENTE</w:t>
              <w:tab/>
            </w:r>
          </w:p>
          <w:p w:rsidR="00000000" w:rsidDel="00000000" w:rsidP="00000000" w:rsidRDefault="00000000" w:rsidRPr="00000000" w14:paraId="00000029">
            <w:pPr>
              <w:spacing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8.1. VAZAMENTO: </w:t>
            </w:r>
            <w:r w:rsidDel="00000000" w:rsidR="00000000" w:rsidRPr="00000000">
              <w:rPr>
                <w:rFonts w:ascii="Arial" w:cs="Arial" w:eastAsia="Arial" w:hAnsi="Arial"/>
                <w:sz w:val="20"/>
                <w:szCs w:val="20"/>
                <w:rtl w:val="0"/>
              </w:rPr>
              <w:t xml:space="preserve">Pôr uma proteção respiratória. Evitar a formação de poeira. Evitar a respiração do vapor/névoa/gás. Assegurar ventilação adequada. Evacuar o pessoal para áreas de segurança. Evitar de respirar o pó. Absorver em estado seco.</w:t>
            </w:r>
          </w:p>
          <w:p w:rsidR="00000000" w:rsidDel="00000000" w:rsidP="00000000" w:rsidRDefault="00000000" w:rsidRPr="00000000" w14:paraId="0000002A">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8.2. FOGO: </w:t>
            </w:r>
            <w:r w:rsidDel="00000000" w:rsidR="00000000" w:rsidRPr="00000000">
              <w:rPr>
                <w:rFonts w:ascii="Arial" w:cs="Arial" w:eastAsia="Arial" w:hAnsi="Arial"/>
                <w:sz w:val="20"/>
                <w:szCs w:val="20"/>
                <w:rtl w:val="0"/>
              </w:rPr>
              <w:t xml:space="preserve">Chame os bombeiros. Não ficar na zona de perigo sem aparelhos respiratórios autônomos apropriados para respiração independente do ambiente. Utilizar água pulverizada, espuma resistente ao álcool, produto químico seco ou dióxido de carbono.</w:t>
            </w:r>
            <w:r w:rsidDel="00000000" w:rsidR="00000000" w:rsidRPr="00000000">
              <w:rPr>
                <w:rtl w:val="0"/>
              </w:rPr>
            </w:r>
          </w:p>
          <w:p w:rsidR="00000000" w:rsidDel="00000000" w:rsidP="00000000" w:rsidRDefault="00000000" w:rsidRPr="00000000" w14:paraId="0000002B">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8.3. POLUIÇÃO:</w:t>
            </w:r>
            <w:r w:rsidDel="00000000" w:rsidR="00000000" w:rsidRPr="00000000">
              <w:rPr>
                <w:rFonts w:ascii="Arial" w:cs="Arial" w:eastAsia="Arial" w:hAnsi="Arial"/>
                <w:sz w:val="20"/>
                <w:szCs w:val="20"/>
                <w:rtl w:val="0"/>
              </w:rPr>
              <w:t xml:space="preserve"> Avise a Defesa Civil – fone 199 – ligação gratuita. Prevenir dispersão ou derramamento, se seguro. Não permitir a entrada do produto no sistema de esgotos.</w:t>
            </w:r>
          </w:p>
          <w:p w:rsidR="00000000" w:rsidDel="00000000" w:rsidP="00000000" w:rsidRDefault="00000000" w:rsidRPr="00000000" w14:paraId="0000002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after="0" w:line="240" w:lineRule="auto"/>
              <w:ind w:right="-81"/>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8.4. ENVOLVIMENTO DE PESSOAS</w:t>
            </w:r>
            <w:r w:rsidDel="00000000" w:rsidR="00000000" w:rsidRPr="00000000">
              <w:rPr>
                <w:rFonts w:ascii="Arial" w:cs="Arial" w:eastAsia="Arial" w:hAnsi="Arial"/>
                <w:sz w:val="20"/>
                <w:szCs w:val="20"/>
                <w:rtl w:val="0"/>
              </w:rPr>
              <w:t xml:space="preserve">: Solicite atenção médica de emergência. Retirar a vítima da área contaminada. Em caso de inalação, levar a pessoa para o ar fresco, se não respirar, dar respiração artificial. Em caso de contato com a pele, lavar com sabão e muita água. Se entrar em contacto com os olhos, lavar com água. Em caso de ingestão, nunca dar nada pela boca a uma pessoa inconsciente, enxaguar a boca com água.</w:t>
            </w:r>
          </w:p>
          <w:p w:rsidR="00000000" w:rsidDel="00000000" w:rsidP="00000000" w:rsidRDefault="00000000" w:rsidRPr="00000000" w14:paraId="0000002E">
            <w:pPr>
              <w:spacing w:after="0" w:line="240" w:lineRule="auto"/>
              <w:ind w:right="-81"/>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F">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8.5. INFORMAÇÕES AO MÉDICO:  </w:t>
            </w:r>
            <w:r w:rsidDel="00000000" w:rsidR="00000000" w:rsidRPr="00000000">
              <w:rPr>
                <w:rFonts w:ascii="Arial" w:cs="Arial" w:eastAsia="Arial" w:hAnsi="Arial"/>
                <w:sz w:val="20"/>
                <w:szCs w:val="20"/>
                <w:rtl w:val="0"/>
              </w:rPr>
              <w:t xml:space="preserve">O produto pode causar irritação e corrosão, efeitos irritantes, reações alérgicas, tosse, respiração superficial. Mostrar esta ficha de segurança ao médico de serviço.</w:t>
            </w:r>
            <w:r w:rsidDel="00000000" w:rsidR="00000000" w:rsidRPr="00000000">
              <w:rPr>
                <w:rtl w:val="0"/>
              </w:rPr>
            </w:r>
          </w:p>
          <w:p w:rsidR="00000000" w:rsidDel="00000000" w:rsidP="00000000" w:rsidRDefault="00000000" w:rsidRPr="00000000" w14:paraId="0000003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8.6. OBSERVAÇÕES: </w:t>
            </w:r>
            <w:r w:rsidDel="00000000" w:rsidR="00000000" w:rsidRPr="00000000">
              <w:rPr>
                <w:rFonts w:ascii="Arial" w:cs="Arial" w:eastAsia="Arial" w:hAnsi="Arial"/>
                <w:sz w:val="20"/>
                <w:szCs w:val="20"/>
                <w:rtl w:val="0"/>
              </w:rPr>
              <w:t xml:space="preserve">As instruções ao motorista, em caso de emergência, encontram-se descritas exclusivamente no envelope para transporte.</w:t>
            </w:r>
            <w:r w:rsidDel="00000000" w:rsidR="00000000" w:rsidRPr="00000000">
              <w:rPr>
                <w:rtl w:val="0"/>
              </w:rPr>
            </w:r>
          </w:p>
          <w:p w:rsidR="00000000" w:rsidDel="00000000" w:rsidP="00000000" w:rsidRDefault="00000000" w:rsidRPr="00000000" w14:paraId="00000032">
            <w:pPr>
              <w:spacing w:after="0" w:line="240" w:lineRule="auto"/>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35">
      <w:pPr>
        <w:ind w:right="-81"/>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6">
      <w:pPr>
        <w:ind w:left="-720" w:right="-81" w:firstLine="0"/>
        <w:jc w:val="right"/>
        <w:rPr>
          <w:rFonts w:ascii="Arial" w:cs="Arial" w:eastAsia="Arial" w:hAnsi="Arial"/>
          <w:sz w:val="20"/>
          <w:szCs w:val="20"/>
        </w:rPr>
      </w:pPr>
      <w:r w:rsidDel="00000000" w:rsidR="00000000" w:rsidRPr="00000000">
        <w:br w:type="page"/>
      </w:r>
      <w:r w:rsidDel="00000000" w:rsidR="00000000" w:rsidRPr="00000000">
        <w:rPr>
          <w:rFonts w:ascii="Arial" w:cs="Arial" w:eastAsia="Arial" w:hAnsi="Arial"/>
          <w:sz w:val="20"/>
          <w:szCs w:val="20"/>
          <w:rtl w:val="0"/>
        </w:rPr>
        <w:t xml:space="preserve">VERSO FICHA DE EMERGÊNCIA</w:t>
      </w:r>
    </w:p>
    <w:p w:rsidR="00000000" w:rsidDel="00000000" w:rsidP="00000000" w:rsidRDefault="00000000" w:rsidRPr="00000000" w14:paraId="00000037">
      <w:pPr>
        <w:ind w:left="-720" w:right="-81" w:firstLine="0"/>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ind w:left="-720" w:right="-81" w:firstLine="0"/>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ind w:left="-720" w:right="-81" w:firstLine="0"/>
        <w:jc w:val="right"/>
        <w:rPr>
          <w:rFonts w:ascii="Arial" w:cs="Arial" w:eastAsia="Arial" w:hAnsi="Arial"/>
          <w:sz w:val="20"/>
          <w:szCs w:val="20"/>
        </w:rPr>
      </w:pPr>
      <w:r w:rsidDel="00000000" w:rsidR="00000000" w:rsidRPr="00000000">
        <w:rPr>
          <w:rtl w:val="0"/>
        </w:rPr>
      </w:r>
    </w:p>
    <w:tbl>
      <w:tblPr>
        <w:tblStyle w:val="Table2"/>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06"/>
        <w:gridCol w:w="4188"/>
        <w:tblGridChange w:id="0">
          <w:tblGrid>
            <w:gridCol w:w="4306"/>
            <w:gridCol w:w="4188"/>
          </w:tblGrid>
        </w:tblGridChange>
      </w:tblGrid>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ind w:right="-81"/>
              <w:jc w:val="center"/>
              <w:rPr>
                <w:rFonts w:ascii="Arial" w:cs="Arial" w:eastAsia="Arial" w:hAnsi="Arial"/>
                <w:sz w:val="20"/>
                <w:szCs w:val="20"/>
              </w:rPr>
            </w:pPr>
            <w:r w:rsidDel="00000000" w:rsidR="00000000" w:rsidRPr="00000000">
              <w:rPr>
                <w:rFonts w:ascii="Arial" w:cs="Arial" w:eastAsia="Arial" w:hAnsi="Arial"/>
                <w:b w:val="1"/>
                <w:rtl w:val="0"/>
              </w:rPr>
              <w:t xml:space="preserve">TELEFONES EM CASO DE EMERGÊNCIA:</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ind w:right="-81"/>
              <w:jc w:val="both"/>
              <w:rPr>
                <w:rFonts w:ascii="Arial" w:cs="Arial" w:eastAsia="Arial" w:hAnsi="Arial"/>
                <w:sz w:val="20"/>
                <w:szCs w:val="20"/>
              </w:rPr>
            </w:pPr>
            <w:r w:rsidDel="00000000" w:rsidR="00000000" w:rsidRPr="00000000">
              <w:rPr>
                <w:rFonts w:ascii="Arial" w:cs="Arial" w:eastAsia="Arial" w:hAnsi="Arial"/>
                <w:b w:val="1"/>
                <w:rtl w:val="0"/>
              </w:rPr>
              <w:t xml:space="preserve">BOMBEIROS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ind w:right="-81"/>
              <w:jc w:val="both"/>
              <w:rPr>
                <w:rFonts w:ascii="Arial" w:cs="Arial" w:eastAsia="Arial" w:hAnsi="Arial"/>
                <w:sz w:val="20"/>
                <w:szCs w:val="20"/>
              </w:rPr>
            </w:pPr>
            <w:r w:rsidDel="00000000" w:rsidR="00000000" w:rsidRPr="00000000">
              <w:rPr>
                <w:rFonts w:ascii="Arial" w:cs="Arial" w:eastAsia="Arial" w:hAnsi="Arial"/>
                <w:b w:val="1"/>
                <w:rtl w:val="0"/>
              </w:rPr>
              <w:t xml:space="preserve">193</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ind w:right="-81"/>
              <w:jc w:val="both"/>
              <w:rPr>
                <w:rFonts w:ascii="Arial" w:cs="Arial" w:eastAsia="Arial" w:hAnsi="Arial"/>
                <w:b w:val="1"/>
              </w:rPr>
            </w:pPr>
            <w:r w:rsidDel="00000000" w:rsidR="00000000" w:rsidRPr="00000000">
              <w:rPr>
                <w:rFonts w:ascii="Arial" w:cs="Arial" w:eastAsia="Arial" w:hAnsi="Arial"/>
                <w:b w:val="1"/>
                <w:rtl w:val="0"/>
              </w:rPr>
              <w:t xml:space="preserve">POLICIA MILITAR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ind w:right="-81"/>
              <w:jc w:val="both"/>
              <w:rPr>
                <w:rFonts w:ascii="Arial" w:cs="Arial" w:eastAsia="Arial" w:hAnsi="Arial"/>
                <w:b w:val="1"/>
              </w:rPr>
            </w:pPr>
            <w:r w:rsidDel="00000000" w:rsidR="00000000" w:rsidRPr="00000000">
              <w:rPr>
                <w:rFonts w:ascii="Arial" w:cs="Arial" w:eastAsia="Arial" w:hAnsi="Arial"/>
                <w:b w:val="1"/>
                <w:rtl w:val="0"/>
              </w:rPr>
              <w:t xml:space="preserve">190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ind w:right="-81"/>
              <w:jc w:val="both"/>
              <w:rPr>
                <w:rFonts w:ascii="Arial" w:cs="Arial" w:eastAsia="Arial" w:hAnsi="Arial"/>
                <w:b w:val="1"/>
              </w:rPr>
            </w:pPr>
            <w:r w:rsidDel="00000000" w:rsidR="00000000" w:rsidRPr="00000000">
              <w:rPr>
                <w:rFonts w:ascii="Arial" w:cs="Arial" w:eastAsia="Arial" w:hAnsi="Arial"/>
                <w:b w:val="1"/>
                <w:rtl w:val="0"/>
              </w:rPr>
              <w:t xml:space="preserve">DEFESA CIVIL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ind w:right="-81"/>
              <w:jc w:val="both"/>
              <w:rPr>
                <w:rFonts w:ascii="Arial" w:cs="Arial" w:eastAsia="Arial" w:hAnsi="Arial"/>
                <w:b w:val="1"/>
              </w:rPr>
            </w:pPr>
            <w:r w:rsidDel="00000000" w:rsidR="00000000" w:rsidRPr="00000000">
              <w:rPr>
                <w:rFonts w:ascii="Arial" w:cs="Arial" w:eastAsia="Arial" w:hAnsi="Arial"/>
                <w:b w:val="1"/>
                <w:rtl w:val="0"/>
              </w:rPr>
              <w:t xml:space="preserve">199</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ind w:right="-81"/>
              <w:jc w:val="both"/>
              <w:rPr>
                <w:rFonts w:ascii="Arial" w:cs="Arial" w:eastAsia="Arial" w:hAnsi="Arial"/>
                <w:b w:val="1"/>
              </w:rPr>
            </w:pPr>
            <w:r w:rsidDel="00000000" w:rsidR="00000000" w:rsidRPr="00000000">
              <w:rPr>
                <w:rFonts w:ascii="Arial" w:cs="Arial" w:eastAsia="Arial" w:hAnsi="Arial"/>
                <w:b w:val="1"/>
                <w:rtl w:val="0"/>
              </w:rPr>
              <w:t xml:space="preserve">CETESB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ind w:right="-81"/>
              <w:jc w:val="both"/>
              <w:rPr>
                <w:rFonts w:ascii="Arial" w:cs="Arial" w:eastAsia="Arial" w:hAnsi="Arial"/>
                <w:b w:val="1"/>
              </w:rPr>
            </w:pPr>
            <w:r w:rsidDel="00000000" w:rsidR="00000000" w:rsidRPr="00000000">
              <w:rPr>
                <w:rFonts w:ascii="Arial" w:cs="Arial" w:eastAsia="Arial" w:hAnsi="Arial"/>
                <w:b w:val="1"/>
                <w:rtl w:val="0"/>
              </w:rPr>
              <w:t xml:space="preserve">0800 11 3560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ind w:right="-81"/>
              <w:jc w:val="both"/>
              <w:rPr>
                <w:rFonts w:ascii="Arial" w:cs="Arial" w:eastAsia="Arial" w:hAnsi="Arial"/>
                <w:b w:val="1"/>
              </w:rPr>
            </w:pPr>
            <w:r w:rsidDel="00000000" w:rsidR="00000000" w:rsidRPr="00000000">
              <w:rPr>
                <w:rFonts w:ascii="Arial" w:cs="Arial" w:eastAsia="Arial" w:hAnsi="Arial"/>
                <w:b w:val="1"/>
                <w:rtl w:val="0"/>
              </w:rPr>
              <w:t xml:space="preserve">POLÍCIA RODOVIÁRIA FEDERAL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ind w:right="-81"/>
              <w:jc w:val="both"/>
              <w:rPr>
                <w:rFonts w:ascii="Arial" w:cs="Arial" w:eastAsia="Arial" w:hAnsi="Arial"/>
                <w:b w:val="1"/>
              </w:rPr>
            </w:pPr>
            <w:r w:rsidDel="00000000" w:rsidR="00000000" w:rsidRPr="00000000">
              <w:rPr>
                <w:rFonts w:ascii="Arial" w:cs="Arial" w:eastAsia="Arial" w:hAnsi="Arial"/>
                <w:b w:val="1"/>
                <w:rtl w:val="0"/>
              </w:rPr>
              <w:t xml:space="preserve">191</w:t>
            </w:r>
          </w:p>
        </w:tc>
      </w:tr>
    </w:tbl>
    <w:p w:rsidR="00000000" w:rsidDel="00000000" w:rsidP="00000000" w:rsidRDefault="00000000" w:rsidRPr="00000000" w14:paraId="00000046">
      <w:pPr>
        <w:ind w:right="-81"/>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pgSz w:h="16838" w:w="11906" w:orient="portrait"/>
      <w:pgMar w:bottom="1417" w:top="1135"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trampo" w:customStyle="1">
    <w:name w:val="texto trampo"/>
    <w:basedOn w:val="Normal"/>
    <w:rsid w:val="009B51C8"/>
    <w:pPr>
      <w:tabs>
        <w:tab w:val="left" w:pos="709"/>
      </w:tabs>
      <w:autoSpaceDE w:val="0"/>
      <w:autoSpaceDN w:val="0"/>
      <w:spacing w:after="0" w:line="240" w:lineRule="auto"/>
    </w:pPr>
    <w:rPr>
      <w:rFonts w:ascii="Arial" w:cs="Arial" w:eastAsia="Times New Roman" w:hAnsi="Arial"/>
      <w:b w:val="1"/>
      <w:bCs w:val="1"/>
      <w:sz w:val="18"/>
      <w:szCs w:val="18"/>
    </w:rPr>
  </w:style>
  <w:style w:type="character" w:styleId="font011" w:customStyle="1">
    <w:name w:val="font011"/>
    <w:rsid w:val="009B51C8"/>
    <w:rPr>
      <w:rFonts w:ascii="Verdana" w:hAnsi="Verdana" w:hint="default"/>
      <w:b w:val="0"/>
      <w:bCs w:val="0"/>
      <w:i w:val="0"/>
      <w:iCs w:val="0"/>
      <w:sz w:val="15"/>
      <w:szCs w:val="15"/>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m5bp6V4O6rQ6gi655lWtLFkWTA==">AMUW2mWeEPhBhkA/A1QiEkmEvtMTYtjPc2R3AJou/OFUnbjlpqI8fcYioIQkuT/s1MgpvgnD8L0OJAGLAEegRnpwO1Ht26GTpa0JQmQm863ItNgkWfhldIk=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2021-01-12T11:30:00Z</dcterms:created>
  <dc:creator>Maraisa Goncalves</dc:creator>
</cp:coreProperties>
</file>