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right="-81" w:firstLine="0"/>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
                <a:graphic>
                  <a:graphicData uri="http://schemas.microsoft.com/office/word/2010/wordprocessingGroup">
                    <wpg:wgp>
                      <wpg:cNvGrpSpPr/>
                      <wpg:grpSpPr>
                        <a:xfrm>
                          <a:off x="1772855" y="0"/>
                          <a:ext cx="7146290" cy="8999855"/>
                          <a:chOff x="1772855" y="0"/>
                          <a:chExt cx="7146290" cy="7560000"/>
                        </a:xfrm>
                      </wpg:grpSpPr>
                      <wpg:grpSp>
                        <wpg:cNvGrpSpPr/>
                        <wpg:grpSpPr>
                          <a:xfrm>
                            <a:off x="1772855" y="0"/>
                            <a:ext cx="7146290" cy="7560000"/>
                            <a:chOff x="407" y="899"/>
                            <a:chExt cx="11246" cy="14173"/>
                          </a:xfrm>
                        </wpg:grpSpPr>
                        <wps:wsp>
                          <wps:cNvSpPr/>
                          <wps:cNvPr id="3" name="Shape 3"/>
                          <wps:spPr>
                            <a:xfrm>
                              <a:off x="407" y="899"/>
                              <a:ext cx="11225" cy="1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07"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s:wsp>
                          <wps:cNvSpPr/>
                          <wps:cNvPr id="5" name="Shape 5"/>
                          <wps:spPr>
                            <a:xfrm>
                              <a:off x="11370" y="899"/>
                              <a:ext cx="283" cy="14173"/>
                            </a:xfrm>
                            <a:prstGeom prst="rect">
                              <a:avLst/>
                            </a:prstGeom>
                            <a:solidFill>
                              <a:srgbClr val="FF000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114300</wp:posOffset>
                </wp:positionV>
                <wp:extent cx="7146290" cy="899985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46290" cy="8999855"/>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360" w:right="-81" w:firstLine="0"/>
        <w:jc w:val="center"/>
        <w:rPr>
          <w:rFonts w:ascii="Arial" w:cs="Arial" w:eastAsia="Arial" w:hAnsi="Arial"/>
          <w:b w:val="1"/>
        </w:rPr>
      </w:pPr>
      <w:r w:rsidDel="00000000" w:rsidR="00000000" w:rsidRPr="00000000">
        <w:rPr>
          <w:rFonts w:ascii="Arial" w:cs="Arial" w:eastAsia="Arial" w:hAnsi="Arial"/>
          <w:b w:val="1"/>
          <w:rtl w:val="0"/>
        </w:rPr>
        <w:t xml:space="preserve">FICHA DE EMERGÊNCIA</w:t>
      </w:r>
    </w:p>
    <w:p w:rsidR="00000000" w:rsidDel="00000000" w:rsidP="00000000" w:rsidRDefault="00000000" w:rsidRPr="00000000" w14:paraId="00000003">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5">
      <w:pPr>
        <w:spacing w:after="0" w:line="240" w:lineRule="auto"/>
        <w:ind w:left="-357" w:right="-79" w:firstLine="0"/>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6">
      <w:pPr>
        <w:spacing w:after="0" w:line="240" w:lineRule="auto"/>
        <w:ind w:left="-357" w:right="-79" w:firstLine="0"/>
        <w:jc w:val="center"/>
        <w:rPr>
          <w:rFonts w:ascii="Arial" w:cs="Arial" w:eastAsia="Arial" w:hAnsi="Arial"/>
          <w:b w:val="1"/>
          <w:sz w:val="2"/>
          <w:szCs w:val="2"/>
        </w:rPr>
      </w:pPr>
      <w:r w:rsidDel="00000000" w:rsidR="00000000" w:rsidRPr="00000000">
        <w:rPr>
          <w:rtl w:val="0"/>
        </w:rPr>
      </w:r>
    </w:p>
    <w:tbl>
      <w:tblPr>
        <w:tblStyle w:val="Table1"/>
        <w:tblW w:w="10620.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600"/>
        <w:gridCol w:w="3600"/>
        <w:tblGridChange w:id="0">
          <w:tblGrid>
            <w:gridCol w:w="3420"/>
            <w:gridCol w:w="3600"/>
            <w:gridCol w:w="3600"/>
          </w:tblGrid>
        </w:tblGridChange>
      </w:tblGrid>
      <w:tr>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after="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GERADOR</w:t>
            </w:r>
          </w:p>
          <w:p w:rsidR="00000000" w:rsidDel="00000000" w:rsidP="00000000" w:rsidRDefault="00000000" w:rsidRPr="00000000" w14:paraId="00000008">
            <w:pPr>
              <w:spacing w:after="0" w:lineRule="auto"/>
              <w:ind w:right="-79"/>
              <w:rPr>
                <w:rFonts w:ascii="Arial" w:cs="Arial" w:eastAsia="Arial" w:hAnsi="Arial"/>
                <w:sz w:val="20"/>
                <w:szCs w:val="20"/>
              </w:rPr>
            </w:pPr>
            <w:r w:rsidDel="00000000" w:rsidR="00000000" w:rsidRPr="00000000">
              <w:rPr>
                <w:rFonts w:ascii="Arial" w:cs="Arial" w:eastAsia="Arial" w:hAnsi="Arial"/>
                <w:b w:val="1"/>
                <w:sz w:val="20"/>
                <w:szCs w:val="20"/>
                <w:rtl w:val="0"/>
              </w:rPr>
              <w:t xml:space="preserve"> Instituto de Ciência e Tecnologia-</w:t>
            </w:r>
            <w:r w:rsidDel="00000000" w:rsidR="00000000" w:rsidRPr="00000000">
              <w:rPr>
                <w:rFonts w:ascii="Arial" w:cs="Arial" w:eastAsia="Arial" w:hAnsi="Arial"/>
                <w:sz w:val="20"/>
                <w:szCs w:val="20"/>
                <w:rtl w:val="0"/>
              </w:rPr>
              <w:t xml:space="preserve">Universidade Federal de São Paulo </w:t>
            </w:r>
          </w:p>
          <w:p w:rsidR="00000000" w:rsidDel="00000000" w:rsidP="00000000" w:rsidRDefault="00000000" w:rsidRPr="00000000" w14:paraId="00000009">
            <w:pPr>
              <w:spacing w:after="0" w:lineRule="auto"/>
              <w:ind w:right="-7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Endereço: </w:t>
            </w:r>
            <w:r w:rsidDel="00000000" w:rsidR="00000000" w:rsidRPr="00000000">
              <w:rPr>
                <w:rFonts w:ascii="Arial" w:cs="Arial" w:eastAsia="Arial" w:hAnsi="Arial"/>
                <w:sz w:val="20"/>
                <w:szCs w:val="20"/>
                <w:rtl w:val="0"/>
              </w:rPr>
              <w:t xml:space="preserve">Rua Talim, 330, Vila Nair, São José dos Campos-São Paulo. CEP: 12231-280.</w:t>
            </w:r>
          </w:p>
          <w:p w:rsidR="00000000" w:rsidDel="00000000" w:rsidP="00000000" w:rsidRDefault="00000000" w:rsidRPr="00000000" w14:paraId="0000000B">
            <w:pPr>
              <w:spacing w:after="0" w:line="240" w:lineRule="auto"/>
              <w:ind w:right="-81"/>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right="-8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NOME APROPRIADO PARA O EMBARQUE</w:t>
            </w:r>
          </w:p>
          <w:p w:rsidR="00000000" w:rsidDel="00000000" w:rsidP="00000000" w:rsidRDefault="00000000" w:rsidRPr="00000000" w14:paraId="0000000D">
            <w:pPr>
              <w:spacing w:after="0" w:line="240" w:lineRule="auto"/>
              <w:ind w:right="-8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spacing w:after="0" w:line="240" w:lineRule="auto"/>
              <w:ind w:right="-81"/>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F">
            <w:pPr>
              <w:spacing w:after="0" w:line="240" w:lineRule="auto"/>
              <w:ind w:right="-81"/>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Hidróxido de Sódio PA (Lentilhas)</w:t>
            </w:r>
          </w:p>
          <w:p w:rsidR="00000000" w:rsidDel="00000000" w:rsidP="00000000" w:rsidRDefault="00000000" w:rsidRPr="00000000" w14:paraId="00000010">
            <w:pPr>
              <w:spacing w:after="0" w:line="240" w:lineRule="auto"/>
              <w:ind w:right="-81"/>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1">
            <w:pPr>
              <w:spacing w:after="0" w:line="240" w:lineRule="auto"/>
              <w:ind w:right="-8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INFORMAÇÕES DO RESÍDUO</w:t>
            </w:r>
          </w:p>
          <w:p w:rsidR="00000000" w:rsidDel="00000000" w:rsidP="00000000" w:rsidRDefault="00000000" w:rsidRPr="00000000" w14:paraId="00000012">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Risco: </w:t>
            </w: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013">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Nº. ONU: </w:t>
            </w:r>
            <w:r w:rsidDel="00000000" w:rsidR="00000000" w:rsidRPr="00000000">
              <w:rPr>
                <w:rFonts w:ascii="Arial" w:cs="Arial" w:eastAsia="Arial" w:hAnsi="Arial"/>
                <w:sz w:val="20"/>
                <w:szCs w:val="20"/>
                <w:rtl w:val="0"/>
              </w:rPr>
              <w:t xml:space="preserve">1823</w:t>
            </w:r>
          </w:p>
          <w:p w:rsidR="00000000" w:rsidDel="00000000" w:rsidP="00000000" w:rsidRDefault="00000000" w:rsidRPr="00000000" w14:paraId="00000014">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Classe ou subclasse de risco: </w:t>
            </w:r>
            <w:r w:rsidDel="00000000" w:rsidR="00000000" w:rsidRPr="00000000">
              <w:rPr>
                <w:rFonts w:ascii="Arial" w:cs="Arial" w:eastAsia="Arial" w:hAnsi="Arial"/>
                <w:sz w:val="20"/>
                <w:szCs w:val="20"/>
                <w:rtl w:val="0"/>
              </w:rPr>
              <w:t xml:space="preserve">8</w:t>
            </w:r>
          </w:p>
          <w:p w:rsidR="00000000" w:rsidDel="00000000" w:rsidP="00000000" w:rsidRDefault="00000000" w:rsidRPr="00000000" w14:paraId="00000015">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da classe ou subclasse: </w:t>
            </w:r>
            <w:r w:rsidDel="00000000" w:rsidR="00000000" w:rsidRPr="00000000">
              <w:rPr>
                <w:rFonts w:ascii="Arial" w:cs="Arial" w:eastAsia="Arial" w:hAnsi="Arial"/>
                <w:sz w:val="20"/>
                <w:szCs w:val="20"/>
                <w:rtl w:val="0"/>
              </w:rPr>
              <w:t xml:space="preserve">Substâncias Corrosivas</w:t>
            </w:r>
          </w:p>
          <w:p w:rsidR="00000000" w:rsidDel="00000000" w:rsidP="00000000" w:rsidRDefault="00000000" w:rsidRPr="00000000" w14:paraId="00000016">
            <w:pPr>
              <w:spacing w:after="0" w:line="240" w:lineRule="auto"/>
              <w:ind w:right="-81"/>
              <w:rPr>
                <w:rFonts w:ascii="Arial" w:cs="Arial" w:eastAsia="Arial" w:hAnsi="Arial"/>
                <w:sz w:val="20"/>
                <w:szCs w:val="20"/>
              </w:rPr>
            </w:pPr>
            <w:r w:rsidDel="00000000" w:rsidR="00000000" w:rsidRPr="00000000">
              <w:rPr>
                <w:rFonts w:ascii="Arial" w:cs="Arial" w:eastAsia="Arial" w:hAnsi="Arial"/>
                <w:b w:val="1"/>
                <w:sz w:val="20"/>
                <w:szCs w:val="20"/>
                <w:rtl w:val="0"/>
              </w:rPr>
              <w:t xml:space="preserve">Grupo de Embalagem: </w:t>
            </w:r>
            <w:r w:rsidDel="00000000" w:rsidR="00000000" w:rsidRPr="00000000">
              <w:rPr>
                <w:rFonts w:ascii="Arial" w:cs="Arial" w:eastAsia="Arial" w:hAnsi="Arial"/>
                <w:sz w:val="20"/>
                <w:szCs w:val="20"/>
                <w:rtl w:val="0"/>
              </w:rPr>
              <w:t xml:space="preserve">II</w:t>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7">
            <w:pPr>
              <w:spacing w:after="200" w:before="200" w:line="240" w:lineRule="auto"/>
              <w:ind w:right="72"/>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TELEFONE: </w:t>
            </w:r>
            <w:r w:rsidDel="00000000" w:rsidR="00000000" w:rsidRPr="00000000">
              <w:rPr>
                <w:rFonts w:ascii="Arial" w:cs="Arial" w:eastAsia="Arial" w:hAnsi="Arial"/>
                <w:sz w:val="20"/>
                <w:szCs w:val="20"/>
                <w:rtl w:val="0"/>
              </w:rPr>
              <w:t xml:space="preserve">(12) 3924-9500- Ramal 9507</w:t>
            </w: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A">
            <w:pPr>
              <w:spacing w:after="0" w:before="20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ASPECTO: </w:t>
            </w:r>
            <w:r w:rsidDel="00000000" w:rsidR="00000000" w:rsidRPr="00000000">
              <w:rPr>
                <w:rFonts w:ascii="Arial" w:cs="Arial" w:eastAsia="Arial" w:hAnsi="Arial"/>
                <w:sz w:val="20"/>
                <w:szCs w:val="20"/>
                <w:rtl w:val="0"/>
              </w:rPr>
              <w:t xml:space="preserve">Sólido. Incompatível com explosivos da classe 1 (exceto da subclasse 1.4 do grupo de compatibilidade S), substâncias auto-reagentes com risco subsidiário de explosivo e peróxidos orgânicos com risco subsidiário de explosivo.</w:t>
            </w: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0"/>
                <w:i w:val="0"/>
                <w:sz w:val="20"/>
                <w:szCs w:val="20"/>
              </w:rPr>
            </w:pPr>
            <w:r w:rsidDel="00000000" w:rsidR="00000000" w:rsidRPr="00000000">
              <w:rPr>
                <w:rtl w:val="0"/>
              </w:rPr>
            </w:r>
          </w:p>
        </w:tc>
      </w:tr>
      <w:tr>
        <w:trPr>
          <w:trHeight w:val="259"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1E">
            <w:pPr>
              <w:spacing w:after="0" w:before="20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EPI DE USO EXCLUSIVO DA EQUIPE DE ATENDIMENTO A EMERGÊNCIA: </w:t>
            </w:r>
          </w:p>
          <w:p w:rsidR="00000000" w:rsidDel="00000000" w:rsidP="00000000" w:rsidRDefault="00000000" w:rsidRPr="00000000" w14:paraId="0000001F">
            <w:pPr>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Luvas de proteção em PVC, botas de borracha, óculos de segurança para produtos químicos, capacete e vestuário protetor adequado. Equipamento de proteção respiratória com filtro contra poeiras. O EPI do motorista está especificado na ABNT NBR 9735.</w:t>
            </w: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b w:val="0"/>
                <w:i w:val="0"/>
                <w:sz w:val="20"/>
                <w:szCs w:val="20"/>
              </w:rPr>
            </w:pP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3">
            <w:pPr>
              <w:spacing w:after="0" w:before="200" w:line="240" w:lineRule="auto"/>
              <w:ind w:right="-79"/>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RISCOS</w:t>
            </w:r>
          </w:p>
          <w:p w:rsidR="00000000" w:rsidDel="00000000" w:rsidP="00000000" w:rsidRDefault="00000000" w:rsidRPr="00000000" w14:paraId="0000002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FOGO: Não é inflamável. O contato direto com a água pode causar violenta reação exotérmica. Quando molhado ataca metais, produzindo gás hidrogênio inflamável. A combustão do produto químico ou de sua embalagem pode formar gases irritantes e tóxicos como monóxido e dióxido de carbono.</w:t>
            </w:r>
          </w:p>
          <w:p w:rsidR="00000000" w:rsidDel="00000000" w:rsidP="00000000" w:rsidRDefault="00000000" w:rsidRPr="00000000" w14:paraId="0000002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SAÚDE: Olhos – o contato pode causar severos danos, incluindo queimaduras e cegueira. A severidade dos efeitos depende da concentração do produto e de quanto tempo, após a exposição, os olhos forem lavados. Pele – o contato pode causar queimaduras e destruição dos tecidos da pele. Ingestão – Pode causar severas queimaduras e completa perfuração dos tecidos das membranas mucosas da boca, garganta e estômago. Inalação – Exposição do produto na forma de pó, vapor ou neblina pode causar queimaduras nas vias respiratórias. Contato prolongado pode causar pneumonia química.</w:t>
            </w:r>
          </w:p>
          <w:p w:rsidR="00000000" w:rsidDel="00000000" w:rsidP="00000000" w:rsidRDefault="00000000" w:rsidRPr="00000000" w14:paraId="0000002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 MEIO AMBIENTE: Polui os solos e as águas com elevação da alcalinidade. Solubilidade em água: Solúvel. Este produto não emite vapores a temperatura ambiente. Densidade relativa: 2,13 g/cm3 a 25°C (Água a 4°C = 1).</w:t>
            </w:r>
          </w:p>
          <w:p w:rsidR="00000000" w:rsidDel="00000000" w:rsidP="00000000" w:rsidRDefault="00000000" w:rsidRPr="00000000" w14:paraId="00000027">
            <w:pPr>
              <w:spacing w:after="0" w:line="240" w:lineRule="auto"/>
              <w:jc w:val="both"/>
              <w:rPr>
                <w:rFonts w:ascii="Arial" w:cs="Arial" w:eastAsia="Arial" w:hAnsi="Arial"/>
                <w:b w:val="1"/>
                <w:sz w:val="20"/>
                <w:szCs w:val="20"/>
              </w:rPr>
            </w:pPr>
            <w:r w:rsidDel="00000000" w:rsidR="00000000" w:rsidRPr="00000000">
              <w:rPr>
                <w:rtl w:val="0"/>
              </w:rPr>
            </w:r>
          </w:p>
        </w:tc>
      </w:tr>
      <w:t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A">
            <w:pPr>
              <w:tabs>
                <w:tab w:val="center" w:pos="5241"/>
                <w:tab w:val="left" w:pos="7215"/>
              </w:tabs>
              <w:spacing w:after="0" w:before="200" w:line="240" w:lineRule="auto"/>
              <w:ind w:right="-79"/>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8. EM CASO DE ACIDENTE</w:t>
              <w:tab/>
            </w:r>
          </w:p>
          <w:p w:rsidR="00000000" w:rsidDel="00000000" w:rsidP="00000000" w:rsidRDefault="00000000" w:rsidRPr="00000000" w14:paraId="0000002B">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8.1. VAZAMENTO: </w:t>
            </w:r>
            <w:r w:rsidDel="00000000" w:rsidR="00000000" w:rsidRPr="00000000">
              <w:rPr>
                <w:rFonts w:ascii="Arial" w:cs="Arial" w:eastAsia="Arial" w:hAnsi="Arial"/>
                <w:sz w:val="20"/>
                <w:szCs w:val="20"/>
                <w:rtl w:val="0"/>
              </w:rPr>
              <w:t xml:space="preserve">Isole a área de derramamento ou vazamento em um raio de, no mínimo, 25 metros em todas as direções. Não toque nos recipientes ou material derramado sem uso de vestimentas de proteção adequadas. Pare o vazamento, se isso puder ser feito sem risco. Utilize barreiras naturais ou de contenção de derrame, caso seja aplicável. Em pequenos derramamentos, cubra com terra seca, areia seca ou outro material não combustível e cubra com lona plástica para reduzir a dispersão ou o contato com a chuva. Recolha o material com ferramentas limpas que não provocam faíscas e acondicione em recipientes plásticos para posterior destinação. Se possível, fazer o transbordo para um tanque de emergência de aço inoxidável.</w:t>
            </w: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8.2. FOGO: </w:t>
            </w:r>
            <w:r w:rsidDel="00000000" w:rsidR="00000000" w:rsidRPr="00000000">
              <w:rPr>
                <w:rFonts w:ascii="Arial" w:cs="Arial" w:eastAsia="Arial" w:hAnsi="Arial"/>
                <w:sz w:val="20"/>
                <w:szCs w:val="20"/>
                <w:rtl w:val="0"/>
              </w:rPr>
              <w:t xml:space="preserve">Isole o vazamento de fontes de ignição preventivamente. Não fume. Contêineres e tanques envolvidos no incêndio devem ser resfriados com neblina d’água. Não permita a entrada de água nos recipientes. Meios de extinção apropriados: Compatível com pó químico seco (PQS), dióxido de carbono (CO2) ou neblina d’água. Não recomendados: Jato d’água de forma direta.</w:t>
            </w: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8.3. POLUIÇÃO:</w:t>
            </w:r>
            <w:r w:rsidDel="00000000" w:rsidR="00000000" w:rsidRPr="00000000">
              <w:rPr>
                <w:rFonts w:ascii="Arial" w:cs="Arial" w:eastAsia="Arial" w:hAnsi="Arial"/>
                <w:sz w:val="20"/>
                <w:szCs w:val="20"/>
                <w:rtl w:val="0"/>
              </w:rPr>
              <w:t xml:space="preserve"> Avise a Defesa Civil – fone 199 – ligação gratuita. Evite que o produto derramado atinja cursos d’água e rede de esgotos. O material proveniente do combate ao fogo pode causar poluição e deve ser contido. O produto remanescente deve ser coletado com uma pá limpa ou outro instrumento que não o disperse, acondicionado em recipiente apropriado e removido para local seguro. A disposição deste produto deverá ser realizada com acompanhamento de especialista e de acordo com a legislação ambiental vigente. Agente neutralizante: Solução a 4% de Ácido Acético (Vinagre).</w:t>
            </w:r>
          </w:p>
          <w:p w:rsidR="00000000" w:rsidDel="00000000" w:rsidP="00000000" w:rsidRDefault="00000000" w:rsidRPr="00000000" w14:paraId="0000003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40" w:lineRule="auto"/>
              <w:ind w:right="-8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8.4. ENVOLVIMENTO DE PESSOAS</w:t>
            </w:r>
            <w:r w:rsidDel="00000000" w:rsidR="00000000" w:rsidRPr="00000000">
              <w:rPr>
                <w:rFonts w:ascii="Arial" w:cs="Arial" w:eastAsia="Arial" w:hAnsi="Arial"/>
                <w:sz w:val="20"/>
                <w:szCs w:val="20"/>
                <w:rtl w:val="0"/>
              </w:rPr>
              <w:t xml:space="preserve">: Solicite atenção médica de emergência em todos os casos. Inalação – Remova a vítima para local ventilado e a mantenha em repouso numa posição que não dificulte a respiração. Contato com a pele – Em caso de contato com a pele (ou cabelo): Retire imediatamente toda a roupa contaminada. Enxágue a pele com água ou tome uma ducha. Contato com os olhos – Enxágue cuidadosamente com água durante vários minutos. No caso de uso de lentes de contato, remova-as, se for fácil e enxague novamente. Ingestão – Não induza o vômito. Lave a boca da vítima com água em abundância. Nunca forneça algo via oral a uma pessoa inconsciente.</w:t>
            </w:r>
          </w:p>
          <w:p w:rsidR="00000000" w:rsidDel="00000000" w:rsidP="00000000" w:rsidRDefault="00000000" w:rsidRPr="00000000" w14:paraId="00000032">
            <w:pPr>
              <w:spacing w:after="0" w:line="240" w:lineRule="auto"/>
              <w:ind w:right="-81"/>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 INFORMAÇÕES AO MÉDICO: </w:t>
            </w:r>
            <w:r w:rsidDel="00000000" w:rsidR="00000000" w:rsidRPr="00000000">
              <w:rPr>
                <w:rFonts w:ascii="Arial" w:cs="Arial" w:eastAsia="Arial" w:hAnsi="Arial"/>
                <w:sz w:val="20"/>
                <w:szCs w:val="20"/>
                <w:rtl w:val="0"/>
              </w:rPr>
              <w:t xml:space="preserve">Evite contato com o produto ao socorrer a vítima. Se necessário, o tratamento sintomático deve compreender, sobretudo, medidas de suporte como correção de distúrbios hidroeletrolíticos, metabólicos, além de assistência respiratória.</w:t>
            </w:r>
            <w:r w:rsidDel="00000000" w:rsidR="00000000" w:rsidRPr="00000000">
              <w:rPr>
                <w:rtl w:val="0"/>
              </w:rPr>
            </w:r>
          </w:p>
          <w:p w:rsidR="00000000" w:rsidDel="00000000" w:rsidP="00000000" w:rsidRDefault="00000000" w:rsidRPr="00000000" w14:paraId="0000003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8.6. OBSERVAÇÕES: </w:t>
            </w:r>
            <w:r w:rsidDel="00000000" w:rsidR="00000000" w:rsidRPr="00000000">
              <w:rPr>
                <w:rFonts w:ascii="Arial" w:cs="Arial" w:eastAsia="Arial" w:hAnsi="Arial"/>
                <w:sz w:val="20"/>
                <w:szCs w:val="20"/>
                <w:rtl w:val="0"/>
              </w:rPr>
              <w:t xml:space="preserve">As instruções ao motorista, em caso de emergência, encontram-se descritas exclusivamente no envelope para transporte.</w:t>
            </w: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39">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A">
      <w:pPr>
        <w:ind w:left="-720" w:right="-81" w:firstLine="0"/>
        <w:jc w:val="right"/>
        <w:rPr>
          <w:rFonts w:ascii="Arial" w:cs="Arial" w:eastAsia="Arial" w:hAnsi="Arial"/>
          <w:sz w:val="20"/>
          <w:szCs w:val="20"/>
        </w:rPr>
      </w:pPr>
      <w:r w:rsidDel="00000000" w:rsidR="00000000" w:rsidRPr="00000000">
        <w:br w:type="page"/>
      </w:r>
      <w:r w:rsidDel="00000000" w:rsidR="00000000" w:rsidRPr="00000000">
        <w:rPr>
          <w:rFonts w:ascii="Arial" w:cs="Arial" w:eastAsia="Arial" w:hAnsi="Arial"/>
          <w:sz w:val="20"/>
          <w:szCs w:val="20"/>
          <w:rtl w:val="0"/>
        </w:rPr>
        <w:t xml:space="preserve">VERSO FICHA DE EMERGÊNCIA</w:t>
      </w:r>
    </w:p>
    <w:p w:rsidR="00000000" w:rsidDel="00000000" w:rsidP="00000000" w:rsidRDefault="00000000" w:rsidRPr="00000000" w14:paraId="0000003B">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ind w:left="-720" w:right="-81" w:firstLine="0"/>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ind w:left="-720" w:right="-81" w:firstLine="0"/>
        <w:jc w:val="right"/>
        <w:rPr>
          <w:rFonts w:ascii="Arial" w:cs="Arial" w:eastAsia="Arial" w:hAnsi="Arial"/>
          <w:sz w:val="20"/>
          <w:szCs w:val="20"/>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06"/>
        <w:gridCol w:w="4188"/>
        <w:tblGridChange w:id="0">
          <w:tblGrid>
            <w:gridCol w:w="4306"/>
            <w:gridCol w:w="4188"/>
          </w:tblGrid>
        </w:tblGridChange>
      </w:tblGrid>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right="-81"/>
              <w:jc w:val="center"/>
              <w:rPr>
                <w:rFonts w:ascii="Arial" w:cs="Arial" w:eastAsia="Arial" w:hAnsi="Arial"/>
                <w:sz w:val="20"/>
                <w:szCs w:val="20"/>
              </w:rPr>
            </w:pPr>
            <w:r w:rsidDel="00000000" w:rsidR="00000000" w:rsidRPr="00000000">
              <w:rPr>
                <w:rFonts w:ascii="Arial" w:cs="Arial" w:eastAsia="Arial" w:hAnsi="Arial"/>
                <w:b w:val="1"/>
                <w:rtl w:val="0"/>
              </w:rPr>
              <w:t xml:space="preserve">TELEFONES EM CASO DE EMERGÊNCIA:</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BOMBEIROS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right="-81"/>
              <w:jc w:val="both"/>
              <w:rPr>
                <w:rFonts w:ascii="Arial" w:cs="Arial" w:eastAsia="Arial" w:hAnsi="Arial"/>
                <w:sz w:val="20"/>
                <w:szCs w:val="20"/>
              </w:rPr>
            </w:pPr>
            <w:r w:rsidDel="00000000" w:rsidR="00000000" w:rsidRPr="00000000">
              <w:rPr>
                <w:rFonts w:ascii="Arial" w:cs="Arial" w:eastAsia="Arial" w:hAnsi="Arial"/>
                <w:b w:val="1"/>
                <w:rtl w:val="0"/>
              </w:rPr>
              <w:t xml:space="preserve">193</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right="-81"/>
              <w:jc w:val="both"/>
              <w:rPr>
                <w:rFonts w:ascii="Arial" w:cs="Arial" w:eastAsia="Arial" w:hAnsi="Arial"/>
                <w:b w:val="1"/>
              </w:rPr>
            </w:pPr>
            <w:r w:rsidDel="00000000" w:rsidR="00000000" w:rsidRPr="00000000">
              <w:rPr>
                <w:rFonts w:ascii="Arial" w:cs="Arial" w:eastAsia="Arial" w:hAnsi="Arial"/>
                <w:b w:val="1"/>
                <w:rtl w:val="0"/>
              </w:rPr>
              <w:t xml:space="preserve">POLICIA MILITAR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right="-81"/>
              <w:jc w:val="both"/>
              <w:rPr>
                <w:rFonts w:ascii="Arial" w:cs="Arial" w:eastAsia="Arial" w:hAnsi="Arial"/>
                <w:b w:val="1"/>
              </w:rPr>
            </w:pPr>
            <w:r w:rsidDel="00000000" w:rsidR="00000000" w:rsidRPr="00000000">
              <w:rPr>
                <w:rFonts w:ascii="Arial" w:cs="Arial" w:eastAsia="Arial" w:hAnsi="Arial"/>
                <w:b w:val="1"/>
                <w:rtl w:val="0"/>
              </w:rPr>
              <w:t xml:space="preserve">190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right="-81"/>
              <w:jc w:val="both"/>
              <w:rPr>
                <w:rFonts w:ascii="Arial" w:cs="Arial" w:eastAsia="Arial" w:hAnsi="Arial"/>
                <w:b w:val="1"/>
              </w:rPr>
            </w:pPr>
            <w:r w:rsidDel="00000000" w:rsidR="00000000" w:rsidRPr="00000000">
              <w:rPr>
                <w:rFonts w:ascii="Arial" w:cs="Arial" w:eastAsia="Arial" w:hAnsi="Arial"/>
                <w:b w:val="1"/>
                <w:rtl w:val="0"/>
              </w:rPr>
              <w:t xml:space="preserve">DEFESA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ind w:right="-81"/>
              <w:jc w:val="both"/>
              <w:rPr>
                <w:rFonts w:ascii="Arial" w:cs="Arial" w:eastAsia="Arial" w:hAnsi="Arial"/>
                <w:b w:val="1"/>
              </w:rPr>
            </w:pPr>
            <w:r w:rsidDel="00000000" w:rsidR="00000000" w:rsidRPr="00000000">
              <w:rPr>
                <w:rFonts w:ascii="Arial" w:cs="Arial" w:eastAsia="Arial" w:hAnsi="Arial"/>
                <w:b w:val="1"/>
                <w:rtl w:val="0"/>
              </w:rPr>
              <w:t xml:space="preserve">199</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right="-81"/>
              <w:jc w:val="both"/>
              <w:rPr>
                <w:rFonts w:ascii="Arial" w:cs="Arial" w:eastAsia="Arial" w:hAnsi="Arial"/>
                <w:b w:val="1"/>
              </w:rPr>
            </w:pPr>
            <w:r w:rsidDel="00000000" w:rsidR="00000000" w:rsidRPr="00000000">
              <w:rPr>
                <w:rFonts w:ascii="Arial" w:cs="Arial" w:eastAsia="Arial" w:hAnsi="Arial"/>
                <w:b w:val="1"/>
                <w:rtl w:val="0"/>
              </w:rPr>
              <w:t xml:space="preserve">CETESB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right="-81"/>
              <w:jc w:val="both"/>
              <w:rPr>
                <w:rFonts w:ascii="Arial" w:cs="Arial" w:eastAsia="Arial" w:hAnsi="Arial"/>
                <w:b w:val="1"/>
              </w:rPr>
            </w:pPr>
            <w:r w:rsidDel="00000000" w:rsidR="00000000" w:rsidRPr="00000000">
              <w:rPr>
                <w:rFonts w:ascii="Arial" w:cs="Arial" w:eastAsia="Arial" w:hAnsi="Arial"/>
                <w:b w:val="1"/>
                <w:rtl w:val="0"/>
              </w:rPr>
              <w:t xml:space="preserve">0800 11 3560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right="-81"/>
              <w:jc w:val="both"/>
              <w:rPr>
                <w:rFonts w:ascii="Arial" w:cs="Arial" w:eastAsia="Arial" w:hAnsi="Arial"/>
                <w:b w:val="1"/>
              </w:rPr>
            </w:pPr>
            <w:r w:rsidDel="00000000" w:rsidR="00000000" w:rsidRPr="00000000">
              <w:rPr>
                <w:rFonts w:ascii="Arial" w:cs="Arial" w:eastAsia="Arial" w:hAnsi="Arial"/>
                <w:b w:val="1"/>
                <w:rtl w:val="0"/>
              </w:rPr>
              <w:t xml:space="preserve">POLÍCIA RODOVIÁRIA FEDERAL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right="-81"/>
              <w:jc w:val="both"/>
              <w:rPr>
                <w:rFonts w:ascii="Arial" w:cs="Arial" w:eastAsia="Arial" w:hAnsi="Arial"/>
                <w:b w:val="1"/>
              </w:rPr>
            </w:pPr>
            <w:r w:rsidDel="00000000" w:rsidR="00000000" w:rsidRPr="00000000">
              <w:rPr>
                <w:rFonts w:ascii="Arial" w:cs="Arial" w:eastAsia="Arial" w:hAnsi="Arial"/>
                <w:b w:val="1"/>
                <w:rtl w:val="0"/>
              </w:rPr>
              <w:t xml:space="preserve">191</w:t>
            </w:r>
          </w:p>
        </w:tc>
      </w:tr>
    </w:tbl>
    <w:p w:rsidR="00000000" w:rsidDel="00000000" w:rsidP="00000000" w:rsidRDefault="00000000" w:rsidRPr="00000000" w14:paraId="0000004A">
      <w:pPr>
        <w:ind w:right="-81"/>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8" w:w="11906" w:orient="portrait"/>
      <w:pgMar w:bottom="1417" w:top="1135"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trampo" w:customStyle="1">
    <w:name w:val="texto trampo"/>
    <w:basedOn w:val="Normal"/>
    <w:rsid w:val="009B51C8"/>
    <w:pPr>
      <w:tabs>
        <w:tab w:val="left" w:pos="709"/>
      </w:tabs>
      <w:autoSpaceDE w:val="0"/>
      <w:autoSpaceDN w:val="0"/>
      <w:spacing w:after="0" w:line="240" w:lineRule="auto"/>
    </w:pPr>
    <w:rPr>
      <w:rFonts w:ascii="Arial" w:cs="Arial" w:eastAsia="Times New Roman" w:hAnsi="Arial"/>
      <w:b w:val="1"/>
      <w:bCs w:val="1"/>
      <w:sz w:val="18"/>
      <w:szCs w:val="18"/>
    </w:rPr>
  </w:style>
  <w:style w:type="character" w:styleId="font011" w:customStyle="1">
    <w:name w:val="font011"/>
    <w:rsid w:val="009B51C8"/>
    <w:rPr>
      <w:rFonts w:ascii="Verdana" w:hAnsi="Verdana" w:hint="default"/>
      <w:b w:val="0"/>
      <w:bCs w:val="0"/>
      <w:i w:val="0"/>
      <w:iCs w:val="0"/>
      <w:sz w:val="15"/>
      <w:szCs w:val="15"/>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9Cl6evTrT38ceKlyCb7rU0WW/g==">AMUW2mWbmlWgztUpEEbDIAUn4+A502/RNoIl4VQTu7tgByihmr3Q9bGjHGASES9tJYLUgOrXPOI24Sz8uM1uBd3Al7sLLNTkjhtuEwx++ygvdRlSOcV3x5c=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2020-12-22T18:34:00Z</dcterms:created>
  <dc:creator>Maraisa Goncalves</dc:creator>
</cp:coreProperties>
</file>